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B7" w:rsidRDefault="00C65637">
      <w:pPr>
        <w:spacing w:before="200" w:after="1000" w:line="560" w:lineRule="exact"/>
        <w:jc w:val="center"/>
        <w:rPr>
          <w:rFonts w:ascii="宋体" w:eastAsia="宋体" w:hAnsi="宋体" w:cs="宋体"/>
          <w:sz w:val="18"/>
          <w:szCs w:val="18"/>
        </w:rPr>
      </w:pPr>
      <w:r>
        <w:rPr>
          <w:rFonts w:ascii="宋体" w:eastAsia="宋体" w:hAnsi="宋体" w:cs="宋体"/>
          <w:sz w:val="18"/>
          <w:szCs w:val="18"/>
        </w:rPr>
        <w:t>证券代码：000576                证券简称：甘化科工                公告编号：2025-41</w:t>
      </w:r>
    </w:p>
    <w:p w:rsidR="000701B7" w:rsidRDefault="00C65637">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广东甘化科工股份有限公司</w:t>
      </w:r>
    </w:p>
    <w:p w:rsidR="000701B7" w:rsidRDefault="00C65637">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2025年第三季度报告</w:t>
      </w:r>
    </w:p>
    <w:p w:rsidR="000701B7" w:rsidRDefault="00C65637">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sz w:val="18"/>
          <w:szCs w:val="18"/>
        </w:rPr>
      </w:pPr>
      <w:r>
        <w:rPr>
          <w:rFonts w:ascii="宋体" w:eastAsia="宋体" w:hAnsi="宋体" w:cs="宋体"/>
          <w:sz w:val="18"/>
          <w:szCs w:val="18"/>
        </w:rPr>
        <w:t>本公司及董事会全体成员保证信息披露的内容真实、准确、完整，没有虚假记载、误导性陈述或重大遗漏。</w:t>
      </w:r>
    </w:p>
    <w:p w:rsidR="000701B7" w:rsidRDefault="00C65637">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rsidR="000701B7" w:rsidRDefault="00C65637">
      <w:pPr>
        <w:spacing w:before="100" w:after="100" w:line="400" w:lineRule="exact"/>
        <w:rPr>
          <w:rFonts w:ascii="宋体" w:eastAsia="宋体" w:hAnsi="宋体" w:cs="宋体"/>
          <w:sz w:val="18"/>
          <w:szCs w:val="18"/>
        </w:rPr>
      </w:pPr>
      <w:r>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0701B7" w:rsidRDefault="00C65637">
      <w:pPr>
        <w:spacing w:before="100" w:after="100" w:line="400" w:lineRule="exact"/>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rsidR="000701B7" w:rsidRDefault="00C65637">
      <w:pPr>
        <w:spacing w:before="100" w:after="100" w:line="400" w:lineRule="exact"/>
        <w:rPr>
          <w:rFonts w:ascii="宋体" w:eastAsia="宋体" w:hAnsi="宋体" w:cs="宋体"/>
          <w:sz w:val="18"/>
          <w:szCs w:val="18"/>
        </w:rPr>
      </w:pPr>
      <w:r>
        <w:rPr>
          <w:rFonts w:ascii="宋体" w:eastAsia="宋体" w:hAnsi="宋体" w:cs="宋体"/>
          <w:sz w:val="18"/>
          <w:szCs w:val="18"/>
        </w:rPr>
        <w:t>3.第三季度财务会计报告是否经过审计</w:t>
      </w:r>
    </w:p>
    <w:p w:rsidR="000701B7" w:rsidRPr="00C65637" w:rsidRDefault="00C65637" w:rsidP="00C65637">
      <w:pPr>
        <w:spacing w:before="100" w:after="100"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0701B7" w:rsidRDefault="00C65637">
      <w:pPr>
        <w:pStyle w:val="headingh1"/>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一、主要财务数据</w:t>
      </w:r>
      <w:bookmarkEnd w:id="0"/>
    </w:p>
    <w:p w:rsidR="000701B7" w:rsidRDefault="00C65637">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49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1728"/>
        <w:gridCol w:w="1928"/>
        <w:gridCol w:w="1928"/>
        <w:gridCol w:w="1787"/>
      </w:tblGrid>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C65637">
            <w:pPr>
              <w:spacing w:line="280" w:lineRule="exact"/>
            </w:pPr>
          </w:p>
        </w:tc>
        <w:tc>
          <w:tcPr>
            <w:tcW w:w="172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本报告期比上年同期增减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w:t>
            </w:r>
          </w:p>
        </w:tc>
        <w:tc>
          <w:tcPr>
            <w:tcW w:w="178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期末比上年同期增减</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营业收入（元）</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124,930,312.08</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57.57%</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361,143,878.08</w:t>
            </w:r>
          </w:p>
        </w:tc>
        <w:tc>
          <w:tcPr>
            <w:tcW w:w="1787"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29.73%</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43,733,805.48</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791.63%</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77,531,341.55</w:t>
            </w:r>
          </w:p>
        </w:tc>
        <w:tc>
          <w:tcPr>
            <w:tcW w:w="1787"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287.11%</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2F6834" w:rsidP="00C65637">
            <w:pPr>
              <w:spacing w:line="280" w:lineRule="exact"/>
              <w:jc w:val="right"/>
              <w:rPr>
                <w:rFonts w:ascii="宋体" w:eastAsia="宋体" w:hAnsi="宋体" w:cs="宋体"/>
                <w:sz w:val="18"/>
                <w:szCs w:val="18"/>
              </w:rPr>
            </w:pPr>
            <w:r w:rsidRPr="002F6834">
              <w:rPr>
                <w:rFonts w:ascii="宋体" w:eastAsia="宋体" w:hAnsi="宋体" w:cs="宋体"/>
                <w:sz w:val="18"/>
                <w:szCs w:val="18"/>
              </w:rPr>
              <w:t>7,784,219.29</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2F6834" w:rsidP="00C65637">
            <w:pPr>
              <w:spacing w:line="280" w:lineRule="exact"/>
              <w:jc w:val="right"/>
              <w:rPr>
                <w:rFonts w:ascii="宋体" w:eastAsia="宋体" w:hAnsi="宋体" w:cs="宋体"/>
                <w:sz w:val="18"/>
                <w:szCs w:val="18"/>
              </w:rPr>
            </w:pPr>
            <w:r w:rsidRPr="002F6834">
              <w:rPr>
                <w:rFonts w:ascii="宋体" w:eastAsia="宋体" w:hAnsi="宋体" w:cs="宋体"/>
                <w:sz w:val="18"/>
                <w:szCs w:val="18"/>
              </w:rPr>
              <w:t>200.96%</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2F6834" w:rsidP="00C65637">
            <w:pPr>
              <w:spacing w:line="280" w:lineRule="exact"/>
              <w:jc w:val="right"/>
              <w:rPr>
                <w:rFonts w:ascii="宋体" w:eastAsia="宋体" w:hAnsi="宋体" w:cs="宋体"/>
                <w:sz w:val="18"/>
                <w:szCs w:val="18"/>
              </w:rPr>
            </w:pPr>
            <w:r w:rsidRPr="002F6834">
              <w:rPr>
                <w:rFonts w:ascii="宋体" w:eastAsia="宋体" w:hAnsi="宋体" w:cs="宋体"/>
                <w:sz w:val="18"/>
                <w:szCs w:val="18"/>
              </w:rPr>
              <w:t>9,067,201.45</w:t>
            </w:r>
          </w:p>
        </w:tc>
        <w:tc>
          <w:tcPr>
            <w:tcW w:w="1787" w:type="dxa"/>
            <w:tcBorders>
              <w:top w:val="single" w:sz="2" w:space="0" w:color="auto"/>
              <w:left w:val="single" w:sz="2" w:space="0" w:color="auto"/>
              <w:bottom w:val="single" w:sz="2" w:space="0" w:color="auto"/>
              <w:right w:val="single" w:sz="2" w:space="0" w:color="auto"/>
            </w:tcBorders>
            <w:vAlign w:val="center"/>
          </w:tcPr>
          <w:p w:rsidR="000701B7" w:rsidRDefault="002F6834" w:rsidP="00C65637">
            <w:pPr>
              <w:spacing w:line="280" w:lineRule="exact"/>
              <w:jc w:val="right"/>
              <w:rPr>
                <w:rFonts w:ascii="宋体" w:eastAsia="宋体" w:hAnsi="宋体" w:cs="宋体"/>
                <w:sz w:val="18"/>
                <w:szCs w:val="18"/>
              </w:rPr>
            </w:pPr>
            <w:r w:rsidRPr="002F6834">
              <w:rPr>
                <w:rFonts w:ascii="宋体" w:eastAsia="宋体" w:hAnsi="宋体" w:cs="宋体"/>
                <w:sz w:val="18"/>
                <w:szCs w:val="18"/>
              </w:rPr>
              <w:t>2.72%</w:t>
            </w:r>
          </w:p>
        </w:tc>
      </w:tr>
      <w:tr w:rsidR="00012C1E"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8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72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8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8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80" w:lineRule="exact"/>
              <w:jc w:val="right"/>
              <w:rPr>
                <w:rFonts w:ascii="宋体" w:eastAsia="宋体" w:hAnsi="宋体" w:cs="宋体"/>
                <w:sz w:val="18"/>
                <w:szCs w:val="18"/>
              </w:rPr>
            </w:pPr>
            <w:r w:rsidRPr="00160902">
              <w:rPr>
                <w:rFonts w:ascii="宋体" w:eastAsia="宋体" w:hAnsi="宋体" w:cs="宋体"/>
                <w:sz w:val="18"/>
                <w:szCs w:val="18"/>
              </w:rPr>
              <w:t>11,398,217.48</w:t>
            </w:r>
          </w:p>
        </w:tc>
        <w:tc>
          <w:tcPr>
            <w:tcW w:w="1787"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80" w:lineRule="exact"/>
              <w:jc w:val="right"/>
              <w:rPr>
                <w:rFonts w:ascii="宋体" w:eastAsia="宋体" w:hAnsi="宋体" w:cs="宋体"/>
                <w:sz w:val="18"/>
                <w:szCs w:val="18"/>
              </w:rPr>
            </w:pPr>
            <w:r w:rsidRPr="007E5DE7">
              <w:rPr>
                <w:rFonts w:ascii="宋体" w:eastAsia="宋体" w:hAnsi="宋体" w:cs="宋体"/>
                <w:sz w:val="18"/>
                <w:szCs w:val="18"/>
              </w:rPr>
              <w:t>123.79%</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基本每股收益（元/股）</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0.10</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D26F55" w:rsidP="00C65637">
            <w:pPr>
              <w:spacing w:line="280" w:lineRule="exact"/>
              <w:jc w:val="right"/>
              <w:rPr>
                <w:rFonts w:ascii="宋体" w:eastAsia="宋体" w:hAnsi="宋体" w:cs="宋体"/>
                <w:sz w:val="18"/>
                <w:szCs w:val="18"/>
              </w:rPr>
            </w:pPr>
            <w:r>
              <w:rPr>
                <w:rFonts w:ascii="宋体" w:eastAsia="宋体" w:hAnsi="宋体" w:cs="宋体"/>
                <w:sz w:val="18"/>
                <w:szCs w:val="18"/>
              </w:rPr>
              <w:t>1</w:t>
            </w:r>
            <w:r w:rsidR="00087306">
              <w:rPr>
                <w:rFonts w:ascii="宋体" w:eastAsia="宋体" w:hAnsi="宋体" w:cs="宋体" w:hint="eastAsia"/>
                <w:sz w:val="18"/>
                <w:szCs w:val="18"/>
              </w:rPr>
              <w:t>,</w:t>
            </w:r>
            <w:r>
              <w:rPr>
                <w:rFonts w:ascii="宋体" w:eastAsia="宋体" w:hAnsi="宋体" w:cs="宋体"/>
                <w:sz w:val="18"/>
                <w:szCs w:val="18"/>
              </w:rPr>
              <w:t>100.00</w:t>
            </w:r>
            <w:r w:rsidR="00C65637">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0.18</w:t>
            </w:r>
          </w:p>
        </w:tc>
        <w:tc>
          <w:tcPr>
            <w:tcW w:w="1787"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260.00%</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稀释每股收益（元/股）</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0.10</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D26F55" w:rsidP="00C65637">
            <w:pPr>
              <w:spacing w:line="280" w:lineRule="exact"/>
              <w:jc w:val="right"/>
              <w:rPr>
                <w:rFonts w:ascii="宋体" w:eastAsia="宋体" w:hAnsi="宋体" w:cs="宋体"/>
                <w:sz w:val="18"/>
                <w:szCs w:val="18"/>
              </w:rPr>
            </w:pPr>
            <w:r>
              <w:rPr>
                <w:rFonts w:ascii="宋体" w:eastAsia="宋体" w:hAnsi="宋体" w:cs="宋体"/>
                <w:sz w:val="18"/>
                <w:szCs w:val="18"/>
              </w:rPr>
              <w:t>1</w:t>
            </w:r>
            <w:r w:rsidR="00087306">
              <w:rPr>
                <w:rFonts w:ascii="宋体" w:eastAsia="宋体" w:hAnsi="宋体" w:cs="宋体"/>
                <w:sz w:val="18"/>
                <w:szCs w:val="18"/>
              </w:rPr>
              <w:t>,</w:t>
            </w:r>
            <w:r>
              <w:rPr>
                <w:rFonts w:ascii="宋体" w:eastAsia="宋体" w:hAnsi="宋体" w:cs="宋体"/>
                <w:sz w:val="18"/>
                <w:szCs w:val="18"/>
              </w:rPr>
              <w:t>100.00</w:t>
            </w:r>
            <w:r w:rsidR="00C65637">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0.18</w:t>
            </w:r>
          </w:p>
        </w:tc>
        <w:tc>
          <w:tcPr>
            <w:tcW w:w="1787"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260.00%</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加权平均净资产收益率</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2.68%</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3.07%</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4.75%</w:t>
            </w:r>
          </w:p>
        </w:tc>
        <w:tc>
          <w:tcPr>
            <w:tcW w:w="1787"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3.51%</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C65637">
            <w:pPr>
              <w:spacing w:line="280" w:lineRule="exact"/>
            </w:pPr>
          </w:p>
        </w:tc>
        <w:tc>
          <w:tcPr>
            <w:tcW w:w="172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上年度末</w:t>
            </w:r>
          </w:p>
        </w:tc>
        <w:tc>
          <w:tcPr>
            <w:tcW w:w="371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总资产（元）</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A32BA7" w:rsidP="00C65637">
            <w:pPr>
              <w:spacing w:line="280" w:lineRule="exact"/>
              <w:jc w:val="right"/>
              <w:rPr>
                <w:rFonts w:ascii="宋体" w:eastAsia="宋体" w:hAnsi="宋体" w:cs="宋体"/>
                <w:sz w:val="18"/>
                <w:szCs w:val="18"/>
              </w:rPr>
            </w:pPr>
            <w:r>
              <w:rPr>
                <w:rFonts w:ascii="宋体" w:eastAsia="宋体" w:cs="宋体"/>
                <w:color w:val="000000"/>
                <w:kern w:val="0"/>
                <w:sz w:val="18"/>
                <w:szCs w:val="18"/>
              </w:rPr>
              <w:t>2,260,702,167.25</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1,844,340,893.78</w:t>
            </w:r>
          </w:p>
        </w:tc>
        <w:tc>
          <w:tcPr>
            <w:tcW w:w="3715" w:type="dxa"/>
            <w:gridSpan w:val="2"/>
            <w:tcBorders>
              <w:top w:val="single" w:sz="2" w:space="0" w:color="auto"/>
              <w:left w:val="single" w:sz="2" w:space="0" w:color="auto"/>
              <w:bottom w:val="single" w:sz="2" w:space="0" w:color="auto"/>
              <w:right w:val="single" w:sz="2" w:space="0" w:color="auto"/>
            </w:tcBorders>
            <w:vAlign w:val="center"/>
          </w:tcPr>
          <w:p w:rsidR="000701B7" w:rsidRDefault="00A32BA7" w:rsidP="00073363">
            <w:pPr>
              <w:spacing w:line="280" w:lineRule="exact"/>
              <w:jc w:val="right"/>
              <w:rPr>
                <w:rFonts w:ascii="宋体" w:eastAsia="宋体" w:hAnsi="宋体" w:cs="宋体"/>
                <w:sz w:val="18"/>
                <w:szCs w:val="18"/>
              </w:rPr>
            </w:pPr>
            <w:r>
              <w:rPr>
                <w:rFonts w:ascii="宋体" w:eastAsia="宋体" w:hAnsi="宋体" w:cs="宋体"/>
                <w:sz w:val="18"/>
                <w:szCs w:val="18"/>
              </w:rPr>
              <w:t>22.58%</w:t>
            </w:r>
          </w:p>
        </w:tc>
      </w:tr>
      <w:tr w:rsidR="000701B7" w:rsidTr="00C65637">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1728" w:type="dxa"/>
            <w:tcBorders>
              <w:top w:val="single" w:sz="2" w:space="0" w:color="auto"/>
              <w:left w:val="single" w:sz="2" w:space="0" w:color="auto"/>
              <w:bottom w:val="single" w:sz="2" w:space="0" w:color="auto"/>
              <w:right w:val="single" w:sz="2" w:space="0" w:color="auto"/>
            </w:tcBorders>
            <w:vAlign w:val="center"/>
          </w:tcPr>
          <w:p w:rsidR="000701B7" w:rsidRDefault="005A2206" w:rsidP="00C65637">
            <w:pPr>
              <w:spacing w:line="280" w:lineRule="exact"/>
              <w:jc w:val="right"/>
              <w:rPr>
                <w:rFonts w:ascii="宋体" w:eastAsia="宋体" w:hAnsi="宋体" w:cs="宋体"/>
                <w:sz w:val="18"/>
                <w:szCs w:val="18"/>
              </w:rPr>
            </w:pPr>
            <w:r w:rsidRPr="005A2206">
              <w:rPr>
                <w:rFonts w:ascii="宋体" w:eastAsia="宋体" w:hAnsi="宋体" w:cs="宋体"/>
                <w:sz w:val="18"/>
                <w:szCs w:val="18"/>
              </w:rPr>
              <w:t>1,651,370,310.45</w:t>
            </w:r>
          </w:p>
        </w:tc>
        <w:tc>
          <w:tcPr>
            <w:tcW w:w="192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1,612,340,099.58</w:t>
            </w:r>
          </w:p>
        </w:tc>
        <w:tc>
          <w:tcPr>
            <w:tcW w:w="3715" w:type="dxa"/>
            <w:gridSpan w:val="2"/>
            <w:tcBorders>
              <w:top w:val="single" w:sz="2" w:space="0" w:color="auto"/>
              <w:left w:val="single" w:sz="2" w:space="0" w:color="auto"/>
              <w:bottom w:val="single" w:sz="2" w:space="0" w:color="auto"/>
              <w:right w:val="single" w:sz="2" w:space="0" w:color="auto"/>
            </w:tcBorders>
            <w:vAlign w:val="center"/>
          </w:tcPr>
          <w:p w:rsidR="000701B7" w:rsidRDefault="00073363" w:rsidP="00073363">
            <w:pPr>
              <w:spacing w:line="280" w:lineRule="exact"/>
              <w:jc w:val="right"/>
              <w:rPr>
                <w:rFonts w:ascii="宋体" w:eastAsia="宋体" w:hAnsi="宋体" w:cs="宋体"/>
                <w:sz w:val="18"/>
                <w:szCs w:val="18"/>
              </w:rPr>
            </w:pPr>
            <w:r>
              <w:rPr>
                <w:rFonts w:ascii="宋体" w:eastAsia="宋体" w:hAnsi="宋体" w:cs="宋体"/>
                <w:sz w:val="18"/>
                <w:szCs w:val="18"/>
              </w:rPr>
              <w:t>2.42%</w:t>
            </w:r>
          </w:p>
        </w:tc>
      </w:tr>
    </w:tbl>
    <w:p w:rsidR="000701B7" w:rsidRDefault="00C65637">
      <w:pPr>
        <w:pStyle w:val="2"/>
        <w:spacing w:before="300" w:after="300" w:line="280" w:lineRule="exact"/>
        <w:rPr>
          <w:rFonts w:ascii="宋体" w:eastAsia="宋体" w:hAnsi="宋体" w:cs="宋体"/>
          <w:b/>
          <w:bCs/>
        </w:rPr>
      </w:pPr>
      <w:bookmarkStart w:id="2" w:name="_Toc988891"/>
      <w:r>
        <w:rPr>
          <w:rFonts w:ascii="宋体" w:eastAsia="宋体" w:hAnsi="宋体" w:cs="宋体"/>
          <w:b/>
          <w:bCs/>
        </w:rPr>
        <w:lastRenderedPageBreak/>
        <w:t>（二） 非经常性损益项目和金额</w:t>
      </w:r>
      <w:bookmarkEnd w:id="2"/>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0701B7" w:rsidRDefault="00C65637">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544"/>
        <w:gridCol w:w="1701"/>
        <w:gridCol w:w="2126"/>
        <w:gridCol w:w="2268"/>
      </w:tblGrid>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jc w:val="center"/>
              <w:rPr>
                <w:rFonts w:ascii="宋体" w:eastAsia="宋体" w:hAnsi="宋体" w:cs="宋体"/>
                <w:sz w:val="18"/>
                <w:szCs w:val="18"/>
              </w:rPr>
            </w:pPr>
            <w:r>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期期末金额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jc w:val="center"/>
              <w:rPr>
                <w:rFonts w:ascii="宋体" w:eastAsia="宋体" w:hAnsi="宋体" w:cs="宋体"/>
                <w:sz w:val="18"/>
                <w:szCs w:val="18"/>
              </w:rPr>
            </w:pPr>
            <w:r>
              <w:rPr>
                <w:rFonts w:ascii="宋体" w:eastAsia="宋体" w:hAnsi="宋体" w:cs="宋体"/>
                <w:sz w:val="18"/>
                <w:szCs w:val="18"/>
              </w:rPr>
              <w:t>说明</w:t>
            </w: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-989.43</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-525,785.48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904BFF" w:rsidP="00C65637">
            <w:pPr>
              <w:spacing w:line="280" w:lineRule="exact"/>
              <w:jc w:val="right"/>
              <w:rPr>
                <w:rFonts w:ascii="宋体" w:eastAsia="宋体" w:hAnsi="宋体" w:cs="宋体"/>
                <w:sz w:val="18"/>
                <w:szCs w:val="18"/>
              </w:rPr>
            </w:pPr>
            <w:r w:rsidRPr="00904BFF">
              <w:rPr>
                <w:rFonts w:ascii="宋体" w:eastAsia="宋体" w:hAnsi="宋体" w:cs="宋体"/>
                <w:sz w:val="18"/>
                <w:szCs w:val="18"/>
              </w:rPr>
              <w:t>3,256,620.57</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904BFF" w:rsidP="00C65637">
            <w:pPr>
              <w:spacing w:line="280" w:lineRule="exact"/>
              <w:jc w:val="right"/>
              <w:rPr>
                <w:rFonts w:ascii="宋体" w:eastAsia="宋体" w:hAnsi="宋体" w:cs="宋体"/>
                <w:sz w:val="18"/>
                <w:szCs w:val="18"/>
              </w:rPr>
            </w:pPr>
            <w:r w:rsidRPr="00904BFF">
              <w:rPr>
                <w:rFonts w:ascii="宋体" w:eastAsia="宋体" w:hAnsi="宋体" w:cs="宋体"/>
                <w:sz w:val="18"/>
                <w:szCs w:val="18"/>
              </w:rPr>
              <w:t>4,297,302.28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44,069,573.29</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54,401,146.94</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主要是减持</w:t>
            </w:r>
            <w:proofErr w:type="gramStart"/>
            <w:r>
              <w:rPr>
                <w:rFonts w:ascii="宋体" w:eastAsia="宋体" w:hAnsi="宋体" w:cs="宋体"/>
                <w:sz w:val="18"/>
                <w:szCs w:val="18"/>
              </w:rPr>
              <w:t>锴</w:t>
            </w:r>
            <w:proofErr w:type="gramEnd"/>
            <w:r>
              <w:rPr>
                <w:rFonts w:ascii="宋体" w:eastAsia="宋体" w:hAnsi="宋体" w:cs="宋体"/>
                <w:sz w:val="18"/>
                <w:szCs w:val="18"/>
              </w:rPr>
              <w:t>威</w:t>
            </w:r>
            <w:proofErr w:type="gramStart"/>
            <w:r>
              <w:rPr>
                <w:rFonts w:ascii="宋体" w:eastAsia="宋体" w:hAnsi="宋体" w:cs="宋体"/>
                <w:sz w:val="18"/>
                <w:szCs w:val="18"/>
              </w:rPr>
              <w:t>特</w:t>
            </w:r>
            <w:proofErr w:type="gramEnd"/>
            <w:r>
              <w:rPr>
                <w:rFonts w:ascii="宋体" w:eastAsia="宋体" w:hAnsi="宋体" w:cs="宋体"/>
                <w:sz w:val="18"/>
                <w:szCs w:val="18"/>
              </w:rPr>
              <w:t>股票收益和转让参股公司芜湖华沅微电子有限公司股权收益</w:t>
            </w: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计入当期损益的对非金融企业收取的资金占用费</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344,422.65</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878,622.52</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对外委托贷款取得的损益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因不可抗力因素，如遭受自然灾害而产生的各项资产损失</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企业取得子公司、联营企业及合营企业的投资成本小于取得投资时应享有被投资单位可辨认净资产公允价值产生的收益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下企业合并产生的子公司期初至</w:t>
            </w:r>
            <w:proofErr w:type="gramStart"/>
            <w:r>
              <w:rPr>
                <w:rFonts w:ascii="宋体" w:eastAsia="宋体" w:hAnsi="宋体" w:cs="宋体"/>
                <w:sz w:val="18"/>
                <w:szCs w:val="18"/>
              </w:rPr>
              <w:t>合并日</w:t>
            </w:r>
            <w:proofErr w:type="gramEnd"/>
            <w:r>
              <w:rPr>
                <w:rFonts w:ascii="宋体" w:eastAsia="宋体" w:hAnsi="宋体" w:cs="宋体"/>
                <w:sz w:val="18"/>
                <w:szCs w:val="18"/>
              </w:rPr>
              <w:t>的当期净损益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非货币性资产交换损益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债务重组损益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企业因相关经营活动不再持续而发生的一次性费用，如安置职工的支出等</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因税收、会计等法律、法规的调整对当期损益产生的一次性影响</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因取消、修改股权激励计划一次性确认的股份支付费用</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对于现金结算的股份支付，在可行权日之后，应付职工薪酬的公允价值变动产生的损益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采用公允价值模式进行后续计量的投资性房地产公允价值变动产生的损益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交易价格显失公允的交易产生的收益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与公司正常经营业务无关的或有事项产生</w:t>
            </w:r>
            <w:r>
              <w:rPr>
                <w:rFonts w:ascii="宋体" w:eastAsia="宋体" w:hAnsi="宋体" w:cs="宋体"/>
                <w:sz w:val="18"/>
                <w:szCs w:val="18"/>
              </w:rPr>
              <w:lastRenderedPageBreak/>
              <w:t>的损益</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lastRenderedPageBreak/>
              <w:t>受托经营取得的托管费收入</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-59,003.86</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30,685,483.00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rPr>
                <w:rFonts w:ascii="宋体" w:eastAsia="宋体" w:hAnsi="宋体" w:cs="宋体"/>
                <w:sz w:val="18"/>
                <w:szCs w:val="18"/>
              </w:rPr>
            </w:pPr>
            <w:r>
              <w:rPr>
                <w:rFonts w:ascii="宋体" w:eastAsia="宋体" w:hAnsi="宋体" w:cs="宋体"/>
                <w:sz w:val="18"/>
                <w:szCs w:val="18"/>
              </w:rPr>
              <w:t>主要是业绩承诺标的资产沈阳非晶在利润保障期内未达到业绩承诺要求，业绩承诺方郝宏伟先生将其直接及间接持有的沈阳非晶股权全部转让给公司作为补偿，公司按股权公允价值确认营业外收入3,096.26万元</w:t>
            </w: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减：所得税影响额</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11,353,596.31</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C65637" w:rsidP="00C65637">
            <w:pPr>
              <w:spacing w:line="280" w:lineRule="exact"/>
              <w:jc w:val="right"/>
              <w:rPr>
                <w:rFonts w:ascii="宋体" w:eastAsia="宋体" w:hAnsi="宋体" w:cs="宋体"/>
                <w:sz w:val="18"/>
                <w:szCs w:val="18"/>
              </w:rPr>
            </w:pPr>
            <w:r>
              <w:rPr>
                <w:rFonts w:ascii="宋体" w:eastAsia="宋体" w:hAnsi="宋体" w:cs="宋体"/>
                <w:sz w:val="18"/>
                <w:szCs w:val="18"/>
              </w:rPr>
              <w:t>20,701,088.85</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904BFF" w:rsidP="000B61F6">
            <w:pPr>
              <w:spacing w:line="280" w:lineRule="exact"/>
              <w:jc w:val="right"/>
              <w:rPr>
                <w:rFonts w:ascii="宋体" w:eastAsia="宋体" w:hAnsi="宋体" w:cs="宋体"/>
                <w:sz w:val="18"/>
                <w:szCs w:val="18"/>
              </w:rPr>
            </w:pPr>
            <w:r w:rsidRPr="00904BFF">
              <w:rPr>
                <w:rFonts w:ascii="宋体" w:eastAsia="宋体" w:hAnsi="宋体" w:cs="宋体"/>
                <w:sz w:val="18"/>
                <w:szCs w:val="18"/>
              </w:rPr>
              <w:t>307,440.7</w:t>
            </w:r>
            <w:r w:rsidR="000B61F6">
              <w:rPr>
                <w:rFonts w:ascii="宋体" w:eastAsia="宋体" w:hAnsi="宋体" w:cs="宋体"/>
                <w:sz w:val="18"/>
                <w:szCs w:val="18"/>
              </w:rPr>
              <w:t>2</w:t>
            </w:r>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904BFF" w:rsidP="00C65637">
            <w:pPr>
              <w:spacing w:line="280" w:lineRule="exact"/>
              <w:jc w:val="right"/>
              <w:rPr>
                <w:rFonts w:ascii="宋体" w:eastAsia="宋体" w:hAnsi="宋体" w:cs="宋体"/>
                <w:sz w:val="18"/>
                <w:szCs w:val="18"/>
              </w:rPr>
            </w:pPr>
            <w:r w:rsidRPr="00904BFF">
              <w:rPr>
                <w:rFonts w:ascii="宋体" w:eastAsia="宋体" w:hAnsi="宋体" w:cs="宋体"/>
                <w:sz w:val="18"/>
                <w:szCs w:val="18"/>
              </w:rPr>
              <w:t>571,540.31</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C65637">
            <w:pPr>
              <w:spacing w:line="280" w:lineRule="exact"/>
              <w:rPr>
                <w:rFonts w:ascii="宋体" w:eastAsia="宋体" w:hAnsi="宋体" w:cs="宋体"/>
                <w:sz w:val="18"/>
                <w:szCs w:val="18"/>
              </w:rPr>
            </w:pPr>
          </w:p>
        </w:tc>
      </w:tr>
      <w:tr w:rsidR="000701B7" w:rsidTr="00C65637">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0701B7" w:rsidRDefault="00904BFF" w:rsidP="000B61F6">
            <w:pPr>
              <w:spacing w:line="280" w:lineRule="exact"/>
              <w:jc w:val="right"/>
              <w:rPr>
                <w:rFonts w:ascii="宋体" w:eastAsia="宋体" w:hAnsi="宋体" w:cs="宋体"/>
                <w:sz w:val="18"/>
                <w:szCs w:val="18"/>
              </w:rPr>
            </w:pPr>
            <w:r w:rsidRPr="00904BFF">
              <w:rPr>
                <w:rFonts w:ascii="宋体" w:eastAsia="宋体" w:hAnsi="宋体" w:cs="宋体"/>
                <w:sz w:val="18"/>
                <w:szCs w:val="18"/>
              </w:rPr>
              <w:t>35,949,586.</w:t>
            </w:r>
            <w:r w:rsidR="000B61F6">
              <w:rPr>
                <w:rFonts w:ascii="宋体" w:eastAsia="宋体" w:hAnsi="宋体" w:cs="宋体"/>
                <w:sz w:val="18"/>
                <w:szCs w:val="18"/>
              </w:rPr>
              <w:t>19</w:t>
            </w:r>
            <w:bookmarkStart w:id="3" w:name="_GoBack"/>
            <w:bookmarkEnd w:id="3"/>
          </w:p>
        </w:tc>
        <w:tc>
          <w:tcPr>
            <w:tcW w:w="2126" w:type="dxa"/>
            <w:tcBorders>
              <w:top w:val="single" w:sz="2" w:space="0" w:color="auto"/>
              <w:left w:val="single" w:sz="2" w:space="0" w:color="auto"/>
              <w:bottom w:val="single" w:sz="2" w:space="0" w:color="auto"/>
              <w:right w:val="single" w:sz="2" w:space="0" w:color="auto"/>
            </w:tcBorders>
            <w:vAlign w:val="center"/>
          </w:tcPr>
          <w:p w:rsidR="000701B7" w:rsidRDefault="00904BFF" w:rsidP="00C65637">
            <w:pPr>
              <w:spacing w:line="280" w:lineRule="exact"/>
              <w:jc w:val="right"/>
              <w:rPr>
                <w:rFonts w:ascii="宋体" w:eastAsia="宋体" w:hAnsi="宋体" w:cs="宋体"/>
                <w:sz w:val="18"/>
                <w:szCs w:val="18"/>
              </w:rPr>
            </w:pPr>
            <w:r w:rsidRPr="00904BFF">
              <w:rPr>
                <w:rFonts w:ascii="宋体" w:eastAsia="宋体" w:hAnsi="宋体" w:cs="宋体"/>
                <w:sz w:val="18"/>
                <w:szCs w:val="18"/>
              </w:rPr>
              <w:t>68,464,140.10</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C65637">
            <w:pPr>
              <w:spacing w:before="40" w:after="40" w:line="280" w:lineRule="exact"/>
              <w:jc w:val="center"/>
              <w:rPr>
                <w:rFonts w:ascii="宋体" w:eastAsia="宋体" w:hAnsi="宋体" w:cs="宋体"/>
                <w:sz w:val="18"/>
                <w:szCs w:val="18"/>
              </w:rPr>
            </w:pPr>
            <w:r>
              <w:rPr>
                <w:rFonts w:ascii="宋体" w:eastAsia="宋体" w:hAnsi="宋体" w:cs="宋体"/>
                <w:sz w:val="18"/>
                <w:szCs w:val="18"/>
              </w:rPr>
              <w:t>--</w:t>
            </w:r>
          </w:p>
        </w:tc>
      </w:tr>
    </w:tbl>
    <w:p w:rsidR="000701B7" w:rsidRDefault="00C65637" w:rsidP="00936C15">
      <w:pPr>
        <w:spacing w:line="28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0701B7" w:rsidRDefault="00C65637" w:rsidP="00936C15">
      <w:pPr>
        <w:spacing w:before="100" w:after="100" w:line="28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rsidP="00936C15">
      <w:pPr>
        <w:spacing w:before="40" w:after="40" w:line="28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0701B7" w:rsidRDefault="00C65637" w:rsidP="00936C15">
      <w:pPr>
        <w:spacing w:before="40" w:after="40" w:line="28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0701B7" w:rsidRDefault="00C65637" w:rsidP="00936C15">
      <w:pPr>
        <w:spacing w:before="100" w:after="100" w:line="28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rsidP="00936C15">
      <w:pPr>
        <w:spacing w:before="100" w:after="100" w:line="280" w:lineRule="exact"/>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rsidR="000701B7" w:rsidRDefault="00C65637">
      <w:pPr>
        <w:pStyle w:val="2"/>
        <w:spacing w:before="300" w:after="300" w:line="280" w:lineRule="exact"/>
        <w:rPr>
          <w:rFonts w:ascii="宋体" w:eastAsia="宋体" w:hAnsi="宋体" w:cs="宋体"/>
          <w:b/>
          <w:bCs/>
        </w:rPr>
      </w:pPr>
      <w:bookmarkStart w:id="4" w:name="_Toc988892"/>
      <w:r>
        <w:rPr>
          <w:rFonts w:ascii="宋体" w:eastAsia="宋体" w:hAnsi="宋体" w:cs="宋体"/>
          <w:b/>
          <w:bCs/>
        </w:rPr>
        <w:t>（三） 主要会计数据和财务指标发生变动的情况及原因</w:t>
      </w:r>
      <w:bookmarkEnd w:id="4"/>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bookmarkStart w:id="5" w:name="OLE_LINK1"/>
      <w:bookmarkStart w:id="6" w:name="OLE_LINK2"/>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53"/>
        <w:gridCol w:w="1559"/>
        <w:gridCol w:w="1560"/>
        <w:gridCol w:w="1559"/>
        <w:gridCol w:w="992"/>
        <w:gridCol w:w="2248"/>
      </w:tblGrid>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widowControl/>
              <w:spacing w:line="300" w:lineRule="exact"/>
              <w:jc w:val="center"/>
              <w:rPr>
                <w:rFonts w:ascii="宋体" w:eastAsia="宋体" w:hAnsi="宋体"/>
                <w:color w:val="000000"/>
                <w:kern w:val="0"/>
                <w:sz w:val="18"/>
                <w:szCs w:val="18"/>
              </w:rPr>
            </w:pPr>
            <w:r w:rsidRPr="00C65637">
              <w:rPr>
                <w:rFonts w:ascii="宋体" w:eastAsia="宋体" w:hAnsi="宋体" w:hint="eastAsia"/>
                <w:color w:val="000000"/>
                <w:sz w:val="18"/>
                <w:szCs w:val="18"/>
              </w:rPr>
              <w:t>项目</w:t>
            </w:r>
          </w:p>
        </w:tc>
        <w:tc>
          <w:tcPr>
            <w:tcW w:w="1559" w:type="dxa"/>
            <w:shd w:val="clear" w:color="auto" w:fill="D9D9D9"/>
            <w:noWrap/>
            <w:vAlign w:val="center"/>
            <w:hideMark/>
          </w:tcPr>
          <w:p w:rsidR="00C65637" w:rsidRPr="00C65637" w:rsidRDefault="00C65637" w:rsidP="00A45740">
            <w:pPr>
              <w:spacing w:line="300" w:lineRule="exact"/>
              <w:jc w:val="center"/>
              <w:rPr>
                <w:rFonts w:ascii="宋体" w:eastAsia="宋体" w:hAnsi="宋体"/>
                <w:color w:val="000000"/>
                <w:sz w:val="18"/>
                <w:szCs w:val="18"/>
              </w:rPr>
            </w:pPr>
            <w:r w:rsidRPr="00C65637">
              <w:rPr>
                <w:rFonts w:ascii="宋体" w:eastAsia="宋体" w:hAnsi="宋体" w:hint="eastAsia"/>
                <w:color w:val="000000"/>
                <w:sz w:val="18"/>
                <w:szCs w:val="18"/>
              </w:rPr>
              <w:t> 期末余额 </w:t>
            </w:r>
          </w:p>
        </w:tc>
        <w:tc>
          <w:tcPr>
            <w:tcW w:w="1560" w:type="dxa"/>
            <w:shd w:val="clear" w:color="auto" w:fill="D9D9D9"/>
            <w:noWrap/>
            <w:vAlign w:val="center"/>
            <w:hideMark/>
          </w:tcPr>
          <w:p w:rsidR="00C65637" w:rsidRPr="00C65637" w:rsidRDefault="00C65637" w:rsidP="00A45740">
            <w:pPr>
              <w:spacing w:line="300" w:lineRule="exact"/>
              <w:jc w:val="center"/>
              <w:rPr>
                <w:rFonts w:ascii="宋体" w:eastAsia="宋体" w:hAnsi="宋体"/>
                <w:color w:val="000000"/>
                <w:sz w:val="18"/>
                <w:szCs w:val="18"/>
              </w:rPr>
            </w:pPr>
            <w:r w:rsidRPr="00C65637">
              <w:rPr>
                <w:rFonts w:ascii="宋体" w:eastAsia="宋体" w:hAnsi="宋体" w:hint="eastAsia"/>
                <w:color w:val="000000"/>
                <w:sz w:val="18"/>
                <w:szCs w:val="18"/>
              </w:rPr>
              <w:t> 期初余额 </w:t>
            </w:r>
          </w:p>
        </w:tc>
        <w:tc>
          <w:tcPr>
            <w:tcW w:w="1559" w:type="dxa"/>
            <w:shd w:val="clear" w:color="auto" w:fill="D9D9D9"/>
            <w:noWrap/>
            <w:vAlign w:val="center"/>
            <w:hideMark/>
          </w:tcPr>
          <w:p w:rsidR="00C65637" w:rsidRPr="00C65637" w:rsidRDefault="00C65637" w:rsidP="00A45740">
            <w:pPr>
              <w:spacing w:line="300" w:lineRule="exact"/>
              <w:jc w:val="center"/>
              <w:rPr>
                <w:rFonts w:ascii="宋体" w:eastAsia="宋体" w:hAnsi="宋体"/>
                <w:color w:val="000000"/>
                <w:sz w:val="18"/>
                <w:szCs w:val="18"/>
              </w:rPr>
            </w:pPr>
            <w:r w:rsidRPr="00C65637">
              <w:rPr>
                <w:rFonts w:ascii="宋体" w:eastAsia="宋体" w:hAnsi="宋体" w:hint="eastAsia"/>
                <w:color w:val="000000"/>
                <w:sz w:val="18"/>
                <w:szCs w:val="18"/>
              </w:rPr>
              <w:t> 增减额 </w:t>
            </w:r>
          </w:p>
        </w:tc>
        <w:tc>
          <w:tcPr>
            <w:tcW w:w="992" w:type="dxa"/>
            <w:shd w:val="clear" w:color="auto" w:fill="D9D9D9"/>
            <w:noWrap/>
            <w:vAlign w:val="center"/>
            <w:hideMark/>
          </w:tcPr>
          <w:p w:rsidR="00C65637" w:rsidRPr="00C65637" w:rsidRDefault="00C65637" w:rsidP="00A45740">
            <w:pPr>
              <w:spacing w:line="300" w:lineRule="exact"/>
              <w:jc w:val="center"/>
              <w:rPr>
                <w:rFonts w:ascii="宋体" w:eastAsia="宋体" w:hAnsi="宋体"/>
                <w:color w:val="000000"/>
                <w:sz w:val="18"/>
                <w:szCs w:val="18"/>
              </w:rPr>
            </w:pPr>
            <w:r w:rsidRPr="00C65637">
              <w:rPr>
                <w:rFonts w:ascii="宋体" w:eastAsia="宋体" w:hAnsi="宋体" w:hint="eastAsia"/>
                <w:color w:val="000000"/>
                <w:sz w:val="18"/>
                <w:szCs w:val="18"/>
              </w:rPr>
              <w:t>增减比例</w:t>
            </w:r>
          </w:p>
        </w:tc>
        <w:tc>
          <w:tcPr>
            <w:tcW w:w="2248" w:type="dxa"/>
            <w:shd w:val="clear" w:color="auto" w:fill="D9D9D9"/>
            <w:noWrap/>
            <w:vAlign w:val="center"/>
            <w:hideMark/>
          </w:tcPr>
          <w:p w:rsidR="00C65637" w:rsidRPr="00C65637" w:rsidRDefault="00C65637" w:rsidP="00A45740">
            <w:pPr>
              <w:spacing w:line="300" w:lineRule="exact"/>
              <w:jc w:val="center"/>
              <w:rPr>
                <w:rFonts w:ascii="宋体" w:eastAsia="宋体" w:hAnsi="宋体"/>
                <w:color w:val="000000"/>
                <w:sz w:val="18"/>
                <w:szCs w:val="18"/>
              </w:rPr>
            </w:pPr>
            <w:r w:rsidRPr="00C65637">
              <w:rPr>
                <w:rFonts w:ascii="宋体" w:eastAsia="宋体" w:hAnsi="宋体" w:hint="eastAsia"/>
                <w:color w:val="000000"/>
                <w:sz w:val="18"/>
                <w:szCs w:val="18"/>
              </w:rPr>
              <w:t>变动情况说明</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交易性金融资产</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120,556,106.57</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212,691,865.42</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-92,135,758.85</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-43.32%</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赎回理财所致</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应收票据</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26,426,940.34</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103,158,129.55</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-76,731,189.21</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-74.38%</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票据到期回款所致</w:t>
            </w:r>
          </w:p>
        </w:tc>
      </w:tr>
      <w:tr w:rsidR="00C65637" w:rsidRPr="00C65637" w:rsidTr="0087440F">
        <w:trPr>
          <w:divId w:val="1274820585"/>
          <w:trHeight w:val="444"/>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应收账款</w:t>
            </w:r>
          </w:p>
        </w:tc>
        <w:tc>
          <w:tcPr>
            <w:tcW w:w="1559" w:type="dxa"/>
            <w:noWrap/>
            <w:vAlign w:val="center"/>
            <w:hideMark/>
          </w:tcPr>
          <w:p w:rsidR="00C65637" w:rsidRPr="00C65637" w:rsidRDefault="003F1DDB"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00C65637" w:rsidRPr="00C65637">
              <w:rPr>
                <w:rFonts w:ascii="宋体" w:eastAsia="宋体" w:hAnsi="宋体" w:hint="eastAsia"/>
                <w:color w:val="000000"/>
                <w:sz w:val="18"/>
                <w:szCs w:val="18"/>
              </w:rPr>
              <w:t>461,806,272.00</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224,622,631.64</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237,183,640.36</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105.59%</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1、非同</w:t>
            </w:r>
            <w:proofErr w:type="gramStart"/>
            <w:r w:rsidRPr="00C65637">
              <w:rPr>
                <w:rFonts w:ascii="宋体" w:eastAsia="宋体" w:hAnsi="宋体" w:hint="eastAsia"/>
                <w:color w:val="000000"/>
                <w:sz w:val="18"/>
                <w:szCs w:val="18"/>
              </w:rPr>
              <w:t>一控制</w:t>
            </w:r>
            <w:proofErr w:type="gramEnd"/>
            <w:r w:rsidRPr="00C65637">
              <w:rPr>
                <w:rFonts w:ascii="宋体" w:eastAsia="宋体" w:hAnsi="宋体" w:hint="eastAsia"/>
                <w:color w:val="000000"/>
                <w:sz w:val="18"/>
                <w:szCs w:val="18"/>
              </w:rPr>
              <w:t>下企业合并增加所致；2、应收</w:t>
            </w:r>
            <w:proofErr w:type="gramStart"/>
            <w:r w:rsidRPr="00C65637">
              <w:rPr>
                <w:rFonts w:ascii="宋体" w:eastAsia="宋体" w:hAnsi="宋体" w:hint="eastAsia"/>
                <w:color w:val="000000"/>
                <w:sz w:val="18"/>
                <w:szCs w:val="18"/>
              </w:rPr>
              <w:t>账款受</w:t>
            </w:r>
            <w:proofErr w:type="gramEnd"/>
            <w:r w:rsidRPr="00C65637">
              <w:rPr>
                <w:rFonts w:ascii="宋体" w:eastAsia="宋体" w:hAnsi="宋体" w:hint="eastAsia"/>
                <w:color w:val="000000"/>
                <w:sz w:val="18"/>
                <w:szCs w:val="18"/>
              </w:rPr>
              <w:t>回款季节性影响增加</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预付款项</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36,920,153.89</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26,322,696.05</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10,597,457.84</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40.26%</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预付材料款增加所致</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存货</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261,238,923.25</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177,203,161.42</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84,035,761.83</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47.42%</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公司根据市场情况进行备货，存货金额增加</w:t>
            </w:r>
          </w:p>
        </w:tc>
      </w:tr>
      <w:tr w:rsidR="00C65637" w:rsidRPr="00C65637" w:rsidTr="0087440F">
        <w:trPr>
          <w:divId w:val="1274820585"/>
          <w:trHeight w:val="444"/>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长期股权投资</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157,211,167.02</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219,987,262.51</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-62,776,095.49</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-28.54%</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主要是转让参股公司芜湖华沅微电子有限公司股权和减持</w:t>
            </w:r>
            <w:proofErr w:type="gramStart"/>
            <w:r w:rsidRPr="00C65637">
              <w:rPr>
                <w:rFonts w:ascii="宋体" w:eastAsia="宋体" w:hAnsi="宋体" w:hint="eastAsia"/>
                <w:color w:val="000000"/>
                <w:sz w:val="18"/>
                <w:szCs w:val="18"/>
              </w:rPr>
              <w:t>锴</w:t>
            </w:r>
            <w:proofErr w:type="gramEnd"/>
            <w:r w:rsidRPr="00C65637">
              <w:rPr>
                <w:rFonts w:ascii="宋体" w:eastAsia="宋体" w:hAnsi="宋体" w:hint="eastAsia"/>
                <w:color w:val="000000"/>
                <w:sz w:val="18"/>
                <w:szCs w:val="18"/>
              </w:rPr>
              <w:t>威</w:t>
            </w:r>
            <w:proofErr w:type="gramStart"/>
            <w:r w:rsidRPr="00C65637">
              <w:rPr>
                <w:rFonts w:ascii="宋体" w:eastAsia="宋体" w:hAnsi="宋体" w:hint="eastAsia"/>
                <w:color w:val="000000"/>
                <w:sz w:val="18"/>
                <w:szCs w:val="18"/>
              </w:rPr>
              <w:t>特</w:t>
            </w:r>
            <w:proofErr w:type="gramEnd"/>
            <w:r w:rsidRPr="00C65637">
              <w:rPr>
                <w:rFonts w:ascii="宋体" w:eastAsia="宋体" w:hAnsi="宋体" w:hint="eastAsia"/>
                <w:color w:val="000000"/>
                <w:sz w:val="18"/>
                <w:szCs w:val="18"/>
              </w:rPr>
              <w:t>股票所致</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递延所得税资产</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18,258,643.52</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30,039,235.38</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-11,780,591.86</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-39.22%</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利润增长导致可抵扣亏损减少</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合同负债</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25,230,609.58</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3,359,350.06</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21,871,259.52</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651.06%</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预收货款金额增加</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应付职工薪酬</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8,421,788.94</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29,638,468.50</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-21,216,679.56</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-71.58%</w:t>
            </w:r>
          </w:p>
        </w:tc>
        <w:tc>
          <w:tcPr>
            <w:tcW w:w="2248" w:type="dxa"/>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上年末计提年终奖在本年发放所致</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lastRenderedPageBreak/>
              <w:t>其他应付款</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53,706,039.74</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16,940,485.10</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36,765,554.64</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217.03%</w:t>
            </w:r>
          </w:p>
        </w:tc>
        <w:tc>
          <w:tcPr>
            <w:tcW w:w="2248" w:type="dxa"/>
            <w:vMerge w:val="restart"/>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应付股权转让款增加</w:t>
            </w:r>
          </w:p>
        </w:tc>
      </w:tr>
      <w:tr w:rsidR="00C65637" w:rsidRPr="00C65637" w:rsidTr="0087440F">
        <w:trPr>
          <w:divId w:val="1274820585"/>
          <w:trHeight w:val="288"/>
        </w:trPr>
        <w:tc>
          <w:tcPr>
            <w:tcW w:w="1853" w:type="dxa"/>
            <w:shd w:val="clear" w:color="auto" w:fill="D9D9D9"/>
            <w:noWrap/>
            <w:vAlign w:val="center"/>
            <w:hideMark/>
          </w:tcPr>
          <w:p w:rsidR="00C65637" w:rsidRPr="00C65637" w:rsidRDefault="00C65637"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长期应付款</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xml:space="preserve"> 130,494,000.00</w:t>
            </w:r>
          </w:p>
        </w:tc>
        <w:tc>
          <w:tcPr>
            <w:tcW w:w="1560"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w:t>
            </w:r>
          </w:p>
        </w:tc>
        <w:tc>
          <w:tcPr>
            <w:tcW w:w="1559"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130,494,000.00</w:t>
            </w:r>
          </w:p>
        </w:tc>
        <w:tc>
          <w:tcPr>
            <w:tcW w:w="992" w:type="dxa"/>
            <w:noWrap/>
            <w:vAlign w:val="center"/>
            <w:hideMark/>
          </w:tcPr>
          <w:p w:rsidR="00C65637" w:rsidRPr="00C65637" w:rsidRDefault="00C65637"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w:t>
            </w:r>
          </w:p>
        </w:tc>
        <w:tc>
          <w:tcPr>
            <w:tcW w:w="2248" w:type="dxa"/>
            <w:vMerge/>
            <w:vAlign w:val="center"/>
            <w:hideMark/>
          </w:tcPr>
          <w:p w:rsidR="00C65637" w:rsidRPr="00C65637" w:rsidRDefault="00C65637" w:rsidP="00A45740">
            <w:pPr>
              <w:spacing w:line="300" w:lineRule="exact"/>
              <w:rPr>
                <w:rFonts w:ascii="宋体" w:eastAsia="宋体" w:hAnsi="宋体" w:cs="宋体"/>
                <w:color w:val="000000"/>
                <w:sz w:val="18"/>
                <w:szCs w:val="18"/>
              </w:rPr>
            </w:pPr>
          </w:p>
        </w:tc>
      </w:tr>
      <w:tr w:rsidR="00CD4BBB" w:rsidRPr="00C65637" w:rsidTr="00832B17">
        <w:trPr>
          <w:divId w:val="1274820585"/>
          <w:trHeight w:val="288"/>
        </w:trPr>
        <w:tc>
          <w:tcPr>
            <w:tcW w:w="1853" w:type="dxa"/>
            <w:shd w:val="clear" w:color="auto" w:fill="D9D9D9"/>
            <w:noWrap/>
            <w:vAlign w:val="center"/>
            <w:hideMark/>
          </w:tcPr>
          <w:p w:rsidR="00CD4BBB" w:rsidRPr="00C65637" w:rsidRDefault="00CD4BBB" w:rsidP="00A32BA7">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固定资产</w:t>
            </w:r>
          </w:p>
        </w:tc>
        <w:tc>
          <w:tcPr>
            <w:tcW w:w="1559" w:type="dxa"/>
            <w:noWrap/>
            <w:vAlign w:val="center"/>
            <w:hideMark/>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108,320,955.32</w:t>
            </w:r>
          </w:p>
        </w:tc>
        <w:tc>
          <w:tcPr>
            <w:tcW w:w="1560" w:type="dxa"/>
            <w:noWrap/>
            <w:vAlign w:val="center"/>
            <w:hideMark/>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62,900,699.99</w:t>
            </w:r>
          </w:p>
        </w:tc>
        <w:tc>
          <w:tcPr>
            <w:tcW w:w="1559" w:type="dxa"/>
            <w:noWrap/>
            <w:hideMark/>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 xml:space="preserve">45,420,255.33 </w:t>
            </w:r>
          </w:p>
        </w:tc>
        <w:tc>
          <w:tcPr>
            <w:tcW w:w="992" w:type="dxa"/>
            <w:noWrap/>
            <w:hideMark/>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72.21%</w:t>
            </w:r>
          </w:p>
        </w:tc>
        <w:tc>
          <w:tcPr>
            <w:tcW w:w="2248" w:type="dxa"/>
            <w:vMerge w:val="restart"/>
            <w:vAlign w:val="center"/>
            <w:hideMark/>
          </w:tcPr>
          <w:p w:rsidR="00CD4BBB" w:rsidRPr="00C65637" w:rsidRDefault="00CD4BBB" w:rsidP="00A32BA7">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非同</w:t>
            </w:r>
            <w:proofErr w:type="gramStart"/>
            <w:r w:rsidRPr="00C65637">
              <w:rPr>
                <w:rFonts w:ascii="宋体" w:eastAsia="宋体" w:hAnsi="宋体" w:hint="eastAsia"/>
                <w:color w:val="000000"/>
                <w:sz w:val="18"/>
                <w:szCs w:val="18"/>
              </w:rPr>
              <w:t>一控制</w:t>
            </w:r>
            <w:proofErr w:type="gramEnd"/>
            <w:r w:rsidRPr="00C65637">
              <w:rPr>
                <w:rFonts w:ascii="宋体" w:eastAsia="宋体" w:hAnsi="宋体" w:hint="eastAsia"/>
                <w:color w:val="000000"/>
                <w:sz w:val="18"/>
                <w:szCs w:val="18"/>
              </w:rPr>
              <w:t>下企业合并增加所致</w:t>
            </w:r>
          </w:p>
        </w:tc>
      </w:tr>
      <w:tr w:rsidR="00CD4BBB" w:rsidRPr="00C65637" w:rsidTr="00832B17">
        <w:trPr>
          <w:divId w:val="1274820585"/>
          <w:trHeight w:val="288"/>
        </w:trPr>
        <w:tc>
          <w:tcPr>
            <w:tcW w:w="1853" w:type="dxa"/>
            <w:shd w:val="clear" w:color="auto" w:fill="D9D9D9"/>
            <w:noWrap/>
            <w:vAlign w:val="center"/>
          </w:tcPr>
          <w:p w:rsidR="00CD4BBB" w:rsidRPr="00C65637" w:rsidRDefault="00CD4BBB" w:rsidP="00A32BA7">
            <w:pPr>
              <w:spacing w:line="300" w:lineRule="exact"/>
              <w:rPr>
                <w:rFonts w:ascii="宋体" w:eastAsia="宋体" w:hAnsi="宋体"/>
                <w:color w:val="000000"/>
                <w:sz w:val="18"/>
                <w:szCs w:val="18"/>
              </w:rPr>
            </w:pPr>
            <w:r>
              <w:rPr>
                <w:rFonts w:ascii="宋体" w:eastAsia="宋体" w:hAnsi="宋体" w:hint="eastAsia"/>
                <w:color w:val="000000"/>
                <w:sz w:val="18"/>
                <w:szCs w:val="18"/>
              </w:rPr>
              <w:t>无形资产</w:t>
            </w:r>
          </w:p>
        </w:tc>
        <w:tc>
          <w:tcPr>
            <w:tcW w:w="1559" w:type="dxa"/>
            <w:noWrap/>
          </w:tcPr>
          <w:p w:rsidR="00CD4BBB"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26,219,485.86</w:t>
            </w:r>
          </w:p>
        </w:tc>
        <w:tc>
          <w:tcPr>
            <w:tcW w:w="1560" w:type="dxa"/>
            <w:noWrap/>
            <w:vAlign w:val="center"/>
          </w:tcPr>
          <w:p w:rsidR="00CD4BBB" w:rsidRDefault="00CD4BBB" w:rsidP="00A32BA7">
            <w:pPr>
              <w:spacing w:line="300" w:lineRule="exact"/>
              <w:jc w:val="right"/>
              <w:rPr>
                <w:rFonts w:ascii="宋体" w:eastAsia="宋体" w:hAnsi="宋体"/>
                <w:color w:val="000000"/>
                <w:sz w:val="18"/>
                <w:szCs w:val="18"/>
              </w:rPr>
            </w:pPr>
            <w:r w:rsidRPr="00FE3300">
              <w:rPr>
                <w:rFonts w:ascii="宋体" w:eastAsia="宋体" w:hAnsi="宋体"/>
                <w:color w:val="000000"/>
                <w:sz w:val="18"/>
                <w:szCs w:val="18"/>
              </w:rPr>
              <w:t>12,907,022.39</w:t>
            </w:r>
          </w:p>
        </w:tc>
        <w:tc>
          <w:tcPr>
            <w:tcW w:w="1559" w:type="dxa"/>
            <w:noWrap/>
          </w:tcPr>
          <w:p w:rsidR="00CD4BBB"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 xml:space="preserve">13,312,463.47 </w:t>
            </w:r>
          </w:p>
        </w:tc>
        <w:tc>
          <w:tcPr>
            <w:tcW w:w="992" w:type="dxa"/>
            <w:noWrap/>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103.14%</w:t>
            </w:r>
          </w:p>
        </w:tc>
        <w:tc>
          <w:tcPr>
            <w:tcW w:w="2248" w:type="dxa"/>
            <w:vMerge/>
            <w:vAlign w:val="center"/>
          </w:tcPr>
          <w:p w:rsidR="00CD4BBB" w:rsidRPr="00C65637" w:rsidRDefault="00CD4BBB" w:rsidP="00A32BA7">
            <w:pPr>
              <w:spacing w:line="300" w:lineRule="exact"/>
              <w:rPr>
                <w:rFonts w:ascii="宋体" w:eastAsia="宋体" w:hAnsi="宋体"/>
                <w:color w:val="000000"/>
                <w:sz w:val="18"/>
                <w:szCs w:val="18"/>
              </w:rPr>
            </w:pPr>
          </w:p>
        </w:tc>
      </w:tr>
      <w:tr w:rsidR="00CD4BBB" w:rsidRPr="00C65637" w:rsidTr="00832B17">
        <w:trPr>
          <w:divId w:val="1274820585"/>
          <w:trHeight w:val="288"/>
        </w:trPr>
        <w:tc>
          <w:tcPr>
            <w:tcW w:w="1853" w:type="dxa"/>
            <w:shd w:val="clear" w:color="auto" w:fill="D9D9D9"/>
            <w:noWrap/>
            <w:vAlign w:val="center"/>
            <w:hideMark/>
          </w:tcPr>
          <w:p w:rsidR="00CD4BBB" w:rsidRPr="00C65637" w:rsidRDefault="00CD4BBB" w:rsidP="00A32BA7">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商誉</w:t>
            </w:r>
          </w:p>
        </w:tc>
        <w:tc>
          <w:tcPr>
            <w:tcW w:w="1559" w:type="dxa"/>
            <w:noWrap/>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745,427,079.39</w:t>
            </w:r>
          </w:p>
        </w:tc>
        <w:tc>
          <w:tcPr>
            <w:tcW w:w="1560" w:type="dxa"/>
            <w:noWrap/>
            <w:vAlign w:val="center"/>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462,364,253.52</w:t>
            </w:r>
          </w:p>
        </w:tc>
        <w:tc>
          <w:tcPr>
            <w:tcW w:w="1559" w:type="dxa"/>
            <w:noWrap/>
            <w:hideMark/>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 xml:space="preserve">283,062,825.87 </w:t>
            </w:r>
          </w:p>
        </w:tc>
        <w:tc>
          <w:tcPr>
            <w:tcW w:w="992" w:type="dxa"/>
            <w:noWrap/>
            <w:hideMark/>
          </w:tcPr>
          <w:p w:rsidR="00CD4BBB" w:rsidRPr="00C65637" w:rsidRDefault="00CD4BBB" w:rsidP="00A32BA7">
            <w:pPr>
              <w:spacing w:line="300" w:lineRule="exact"/>
              <w:jc w:val="right"/>
              <w:rPr>
                <w:rFonts w:ascii="宋体" w:eastAsia="宋体" w:hAnsi="宋体"/>
                <w:color w:val="000000"/>
                <w:sz w:val="18"/>
                <w:szCs w:val="18"/>
              </w:rPr>
            </w:pPr>
            <w:r>
              <w:rPr>
                <w:rFonts w:ascii="宋体" w:eastAsia="宋体" w:cs="宋体"/>
                <w:color w:val="000000"/>
                <w:kern w:val="0"/>
                <w:sz w:val="18"/>
                <w:szCs w:val="18"/>
              </w:rPr>
              <w:t>61.22%</w:t>
            </w:r>
          </w:p>
        </w:tc>
        <w:tc>
          <w:tcPr>
            <w:tcW w:w="2248" w:type="dxa"/>
            <w:vMerge/>
            <w:vAlign w:val="center"/>
            <w:hideMark/>
          </w:tcPr>
          <w:p w:rsidR="00CD4BBB" w:rsidRPr="00C65637" w:rsidRDefault="00CD4BBB" w:rsidP="00A32BA7">
            <w:pPr>
              <w:spacing w:line="300" w:lineRule="exact"/>
              <w:rPr>
                <w:rFonts w:ascii="宋体" w:eastAsia="宋体" w:hAnsi="宋体" w:cs="宋体"/>
                <w:color w:val="000000"/>
                <w:sz w:val="18"/>
                <w:szCs w:val="18"/>
              </w:rPr>
            </w:pPr>
          </w:p>
        </w:tc>
      </w:tr>
      <w:tr w:rsidR="00CD4BBB" w:rsidRPr="00C65637" w:rsidTr="0087440F">
        <w:trPr>
          <w:divId w:val="1274820585"/>
          <w:trHeight w:val="288"/>
        </w:trPr>
        <w:tc>
          <w:tcPr>
            <w:tcW w:w="1853" w:type="dxa"/>
            <w:shd w:val="clear" w:color="auto" w:fill="D9D9D9"/>
            <w:noWrap/>
            <w:vAlign w:val="center"/>
            <w:hideMark/>
          </w:tcPr>
          <w:p w:rsidR="00CD4BBB" w:rsidRPr="00C65637" w:rsidRDefault="00CD4BBB"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短期借款</w:t>
            </w:r>
          </w:p>
        </w:tc>
        <w:tc>
          <w:tcPr>
            <w:tcW w:w="1559"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58,182,208.49</w:t>
            </w:r>
          </w:p>
        </w:tc>
        <w:tc>
          <w:tcPr>
            <w:tcW w:w="1560"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  10,000,000.00</w:t>
            </w:r>
          </w:p>
        </w:tc>
        <w:tc>
          <w:tcPr>
            <w:tcW w:w="1559"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48,182,208.49</w:t>
            </w:r>
          </w:p>
        </w:tc>
        <w:tc>
          <w:tcPr>
            <w:tcW w:w="992"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481.82%</w:t>
            </w:r>
          </w:p>
        </w:tc>
        <w:tc>
          <w:tcPr>
            <w:tcW w:w="2248" w:type="dxa"/>
            <w:vMerge/>
            <w:vAlign w:val="center"/>
            <w:hideMark/>
          </w:tcPr>
          <w:p w:rsidR="00CD4BBB" w:rsidRPr="00C65637" w:rsidRDefault="00CD4BBB" w:rsidP="00A45740">
            <w:pPr>
              <w:spacing w:line="300" w:lineRule="exact"/>
              <w:rPr>
                <w:rFonts w:ascii="宋体" w:eastAsia="宋体" w:hAnsi="宋体" w:cs="宋体"/>
                <w:color w:val="000000"/>
                <w:sz w:val="18"/>
                <w:szCs w:val="18"/>
              </w:rPr>
            </w:pPr>
          </w:p>
        </w:tc>
      </w:tr>
      <w:tr w:rsidR="00CD4BBB" w:rsidRPr="00C65637" w:rsidTr="0087440F">
        <w:trPr>
          <w:divId w:val="1274820585"/>
          <w:trHeight w:val="288"/>
        </w:trPr>
        <w:tc>
          <w:tcPr>
            <w:tcW w:w="1853" w:type="dxa"/>
            <w:shd w:val="clear" w:color="auto" w:fill="D9D9D9"/>
            <w:noWrap/>
            <w:vAlign w:val="center"/>
            <w:hideMark/>
          </w:tcPr>
          <w:p w:rsidR="00CD4BBB" w:rsidRPr="00C65637" w:rsidRDefault="00CD4BBB" w:rsidP="00A45740">
            <w:pPr>
              <w:spacing w:line="300" w:lineRule="exact"/>
              <w:rPr>
                <w:rFonts w:ascii="宋体" w:eastAsia="宋体" w:hAnsi="宋体"/>
                <w:color w:val="000000"/>
                <w:sz w:val="18"/>
                <w:szCs w:val="18"/>
              </w:rPr>
            </w:pPr>
            <w:r w:rsidRPr="00C65637">
              <w:rPr>
                <w:rFonts w:ascii="宋体" w:eastAsia="宋体" w:hAnsi="宋体" w:hint="eastAsia"/>
                <w:color w:val="000000"/>
                <w:sz w:val="18"/>
                <w:szCs w:val="18"/>
              </w:rPr>
              <w:t>应付账款</w:t>
            </w:r>
          </w:p>
        </w:tc>
        <w:tc>
          <w:tcPr>
            <w:tcW w:w="1559"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119,068,789.77</w:t>
            </w:r>
          </w:p>
        </w:tc>
        <w:tc>
          <w:tcPr>
            <w:tcW w:w="1560"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 xml:space="preserve"> 37,261,823.72</w:t>
            </w:r>
          </w:p>
        </w:tc>
        <w:tc>
          <w:tcPr>
            <w:tcW w:w="1559"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Pr="00C65637">
              <w:rPr>
                <w:rFonts w:ascii="宋体" w:eastAsia="宋体" w:hAnsi="宋体" w:hint="eastAsia"/>
                <w:color w:val="000000"/>
                <w:sz w:val="18"/>
                <w:szCs w:val="18"/>
              </w:rPr>
              <w:t>81,806,966.05</w:t>
            </w:r>
          </w:p>
        </w:tc>
        <w:tc>
          <w:tcPr>
            <w:tcW w:w="992" w:type="dxa"/>
            <w:noWrap/>
            <w:vAlign w:val="center"/>
            <w:hideMark/>
          </w:tcPr>
          <w:p w:rsidR="00CD4BBB" w:rsidRPr="00C65637" w:rsidRDefault="00CD4BBB" w:rsidP="00A45740">
            <w:pPr>
              <w:spacing w:line="300" w:lineRule="exact"/>
              <w:jc w:val="right"/>
              <w:rPr>
                <w:rFonts w:ascii="宋体" w:eastAsia="宋体" w:hAnsi="宋体"/>
                <w:color w:val="000000"/>
                <w:sz w:val="18"/>
                <w:szCs w:val="18"/>
              </w:rPr>
            </w:pPr>
            <w:r w:rsidRPr="00C65637">
              <w:rPr>
                <w:rFonts w:ascii="宋体" w:eastAsia="宋体" w:hAnsi="宋体" w:hint="eastAsia"/>
                <w:color w:val="000000"/>
                <w:sz w:val="18"/>
                <w:szCs w:val="18"/>
              </w:rPr>
              <w:t>219.55%</w:t>
            </w:r>
          </w:p>
        </w:tc>
        <w:tc>
          <w:tcPr>
            <w:tcW w:w="2248" w:type="dxa"/>
            <w:vMerge/>
            <w:vAlign w:val="center"/>
            <w:hideMark/>
          </w:tcPr>
          <w:p w:rsidR="00CD4BBB" w:rsidRPr="00C65637" w:rsidRDefault="00CD4BBB" w:rsidP="00A45740">
            <w:pPr>
              <w:spacing w:line="300" w:lineRule="exact"/>
              <w:rPr>
                <w:rFonts w:ascii="宋体" w:eastAsia="宋体" w:hAnsi="宋体" w:cs="宋体"/>
                <w:color w:val="000000"/>
                <w:sz w:val="18"/>
                <w:szCs w:val="18"/>
              </w:rPr>
            </w:pPr>
          </w:p>
        </w:tc>
      </w:tr>
      <w:tr w:rsidR="00CD4BBB" w:rsidRPr="00C65637" w:rsidTr="0087440F">
        <w:trPr>
          <w:divId w:val="1274820585"/>
          <w:trHeight w:val="288"/>
        </w:trPr>
        <w:tc>
          <w:tcPr>
            <w:tcW w:w="1853" w:type="dxa"/>
            <w:shd w:val="clear" w:color="auto" w:fill="D9D9D9"/>
            <w:noWrap/>
            <w:vAlign w:val="center"/>
          </w:tcPr>
          <w:p w:rsidR="00CD4BBB" w:rsidRPr="00C65637" w:rsidRDefault="00CD4BBB" w:rsidP="00D95B3A">
            <w:pPr>
              <w:spacing w:line="300" w:lineRule="exact"/>
              <w:rPr>
                <w:rFonts w:ascii="宋体" w:eastAsia="宋体" w:hAnsi="宋体"/>
                <w:color w:val="000000"/>
                <w:sz w:val="18"/>
                <w:szCs w:val="18"/>
              </w:rPr>
            </w:pPr>
            <w:r>
              <w:rPr>
                <w:rFonts w:ascii="宋体" w:eastAsia="宋体" w:hAnsi="宋体" w:hint="eastAsia"/>
                <w:color w:val="000000"/>
                <w:sz w:val="18"/>
                <w:szCs w:val="18"/>
              </w:rPr>
              <w:t>长期借款</w:t>
            </w:r>
          </w:p>
        </w:tc>
        <w:tc>
          <w:tcPr>
            <w:tcW w:w="1559" w:type="dxa"/>
            <w:noWrap/>
            <w:vAlign w:val="center"/>
          </w:tcPr>
          <w:p w:rsidR="00CD4BBB" w:rsidRDefault="00CD4BBB" w:rsidP="00D95B3A">
            <w:pPr>
              <w:spacing w:line="300" w:lineRule="exact"/>
              <w:jc w:val="right"/>
              <w:rPr>
                <w:rFonts w:ascii="宋体" w:eastAsia="宋体" w:hAnsi="宋体"/>
                <w:color w:val="000000"/>
                <w:sz w:val="18"/>
                <w:szCs w:val="18"/>
              </w:rPr>
            </w:pPr>
            <w:r w:rsidRPr="00AA24E5">
              <w:rPr>
                <w:rFonts w:ascii="宋体" w:eastAsia="宋体" w:hAnsi="宋体"/>
                <w:color w:val="000000"/>
                <w:sz w:val="18"/>
                <w:szCs w:val="18"/>
              </w:rPr>
              <w:t>28,639,166.86</w:t>
            </w:r>
          </w:p>
        </w:tc>
        <w:tc>
          <w:tcPr>
            <w:tcW w:w="1560" w:type="dxa"/>
            <w:noWrap/>
            <w:vAlign w:val="center"/>
          </w:tcPr>
          <w:p w:rsidR="00CD4BBB" w:rsidRDefault="00CD4BBB" w:rsidP="00D95B3A">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w:t>
            </w:r>
          </w:p>
        </w:tc>
        <w:tc>
          <w:tcPr>
            <w:tcW w:w="1559" w:type="dxa"/>
            <w:noWrap/>
            <w:vAlign w:val="center"/>
          </w:tcPr>
          <w:p w:rsidR="00CD4BBB" w:rsidRDefault="00CD4BBB" w:rsidP="00D95B3A">
            <w:pPr>
              <w:spacing w:line="300" w:lineRule="exact"/>
              <w:jc w:val="right"/>
              <w:rPr>
                <w:rFonts w:ascii="宋体" w:eastAsia="宋体" w:hAnsi="宋体"/>
                <w:color w:val="000000"/>
                <w:sz w:val="18"/>
                <w:szCs w:val="18"/>
              </w:rPr>
            </w:pPr>
            <w:r w:rsidRPr="00AA24E5">
              <w:rPr>
                <w:rFonts w:ascii="宋体" w:eastAsia="宋体" w:hAnsi="宋体"/>
                <w:color w:val="000000"/>
                <w:sz w:val="18"/>
                <w:szCs w:val="18"/>
              </w:rPr>
              <w:t>28,639,166.86</w:t>
            </w:r>
          </w:p>
        </w:tc>
        <w:tc>
          <w:tcPr>
            <w:tcW w:w="992" w:type="dxa"/>
            <w:noWrap/>
            <w:vAlign w:val="center"/>
          </w:tcPr>
          <w:p w:rsidR="00CD4BBB" w:rsidRPr="00C65637" w:rsidRDefault="00CD4BBB" w:rsidP="00D95B3A">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w:t>
            </w:r>
          </w:p>
        </w:tc>
        <w:tc>
          <w:tcPr>
            <w:tcW w:w="2248" w:type="dxa"/>
            <w:vMerge/>
            <w:vAlign w:val="center"/>
          </w:tcPr>
          <w:p w:rsidR="00CD4BBB" w:rsidRPr="00C65637" w:rsidRDefault="00CD4BBB" w:rsidP="00D95B3A">
            <w:pPr>
              <w:spacing w:line="300" w:lineRule="exact"/>
              <w:rPr>
                <w:rFonts w:ascii="宋体" w:eastAsia="宋体" w:hAnsi="宋体" w:cs="宋体"/>
                <w:color w:val="000000"/>
                <w:sz w:val="18"/>
                <w:szCs w:val="18"/>
              </w:rPr>
            </w:pPr>
          </w:p>
        </w:tc>
      </w:tr>
    </w:tbl>
    <w:p w:rsidR="003F1DDB" w:rsidRPr="003F1DDB" w:rsidRDefault="00C65637" w:rsidP="003F1DDB">
      <w:pPr>
        <w:pStyle w:val="a3"/>
        <w:spacing w:before="0" w:beforeAutospacing="0" w:after="0" w:afterAutospacing="0"/>
        <w:divId w:val="1274820585"/>
        <w:rPr>
          <w:sz w:val="18"/>
          <w:szCs w:val="18"/>
        </w:rPr>
      </w:pPr>
      <w:r>
        <w:rPr>
          <w:rFonts w:hint="eastAsia"/>
          <w:sz w:val="18"/>
          <w:szCs w:val="18"/>
        </w:rPr>
        <w:t> </w:t>
      </w:r>
    </w:p>
    <w:tbl>
      <w:tblPr>
        <w:tblW w:w="9781" w:type="dxa"/>
        <w:tblInd w:w="-5" w:type="dxa"/>
        <w:tblLayout w:type="fixed"/>
        <w:tblLook w:val="04A0" w:firstRow="1" w:lastRow="0" w:firstColumn="1" w:lastColumn="0" w:noHBand="0" w:noVBand="1"/>
      </w:tblPr>
      <w:tblGrid>
        <w:gridCol w:w="1418"/>
        <w:gridCol w:w="1701"/>
        <w:gridCol w:w="1559"/>
        <w:gridCol w:w="1701"/>
        <w:gridCol w:w="1134"/>
        <w:gridCol w:w="2268"/>
      </w:tblGrid>
      <w:tr w:rsidR="003F1DDB" w:rsidRPr="003F1DDB" w:rsidTr="0087440F">
        <w:trPr>
          <w:divId w:val="1274820585"/>
          <w:trHeight w:val="495"/>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jc w:val="center"/>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项目</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jc w:val="center"/>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本期发生额</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jc w:val="center"/>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上期发生额</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jc w:val="center"/>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增减额</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jc w:val="center"/>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增减比例</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jc w:val="center"/>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变动情况说明</w:t>
            </w:r>
          </w:p>
        </w:tc>
      </w:tr>
      <w:tr w:rsidR="003F1DDB" w:rsidRPr="003F1DDB" w:rsidTr="0087440F">
        <w:trPr>
          <w:divId w:val="1274820585"/>
          <w:trHeight w:val="585"/>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营业收入</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361,143,878.08</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278,380,642.97</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82,763,235.11</w:t>
            </w:r>
          </w:p>
        </w:tc>
        <w:tc>
          <w:tcPr>
            <w:tcW w:w="1134"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29.73%</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高性能特种合金材料制品收入增加。</w:t>
            </w:r>
          </w:p>
        </w:tc>
      </w:tr>
      <w:tr w:rsidR="003F1DDB" w:rsidRPr="003F1DDB" w:rsidTr="0087440F">
        <w:trPr>
          <w:divId w:val="1274820585"/>
          <w:trHeight w:val="1215"/>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营业成本</w:t>
            </w:r>
          </w:p>
        </w:tc>
        <w:tc>
          <w:tcPr>
            <w:tcW w:w="1701" w:type="dxa"/>
            <w:tcBorders>
              <w:top w:val="nil"/>
              <w:left w:val="nil"/>
              <w:bottom w:val="single" w:sz="4" w:space="0" w:color="auto"/>
              <w:right w:val="single" w:sz="4" w:space="0" w:color="auto"/>
            </w:tcBorders>
            <w:vAlign w:val="center"/>
            <w:hideMark/>
          </w:tcPr>
          <w:p w:rsidR="003F1DDB" w:rsidRPr="003F1DDB" w:rsidRDefault="00FE3300" w:rsidP="000D1B04">
            <w:pPr>
              <w:spacing w:line="280" w:lineRule="exact"/>
              <w:jc w:val="right"/>
              <w:rPr>
                <w:rFonts w:ascii="宋体" w:eastAsia="宋体" w:hAnsi="宋体" w:cs="宋体"/>
                <w:sz w:val="18"/>
                <w:szCs w:val="18"/>
              </w:rPr>
            </w:pPr>
            <w:r w:rsidRPr="00FE3300">
              <w:rPr>
                <w:rFonts w:ascii="宋体" w:eastAsia="宋体" w:hAnsi="宋体" w:cs="宋体"/>
                <w:sz w:val="18"/>
                <w:szCs w:val="18"/>
              </w:rPr>
              <w:t>196,730,176.16</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126,409,979.09</w:t>
            </w:r>
          </w:p>
        </w:tc>
        <w:tc>
          <w:tcPr>
            <w:tcW w:w="1701" w:type="dxa"/>
            <w:tcBorders>
              <w:top w:val="nil"/>
              <w:left w:val="nil"/>
              <w:bottom w:val="single" w:sz="4" w:space="0" w:color="auto"/>
              <w:right w:val="single" w:sz="4" w:space="0" w:color="auto"/>
            </w:tcBorders>
            <w:vAlign w:val="center"/>
            <w:hideMark/>
          </w:tcPr>
          <w:p w:rsidR="003F1DDB" w:rsidRPr="003F1DDB" w:rsidRDefault="00FE3300" w:rsidP="000D1B04">
            <w:pPr>
              <w:spacing w:line="280" w:lineRule="exact"/>
              <w:jc w:val="right"/>
              <w:rPr>
                <w:rFonts w:ascii="宋体" w:eastAsia="宋体" w:hAnsi="宋体" w:cs="宋体"/>
                <w:sz w:val="18"/>
                <w:szCs w:val="18"/>
              </w:rPr>
            </w:pPr>
            <w:r w:rsidRPr="00FE3300">
              <w:rPr>
                <w:rFonts w:ascii="宋体" w:eastAsia="宋体" w:hAnsi="宋体" w:cs="宋体"/>
                <w:sz w:val="18"/>
                <w:szCs w:val="18"/>
              </w:rPr>
              <w:t>70,320,197.07</w:t>
            </w:r>
          </w:p>
        </w:tc>
        <w:tc>
          <w:tcPr>
            <w:tcW w:w="1134" w:type="dxa"/>
            <w:tcBorders>
              <w:top w:val="nil"/>
              <w:left w:val="nil"/>
              <w:bottom w:val="single" w:sz="4" w:space="0" w:color="auto"/>
              <w:right w:val="single" w:sz="4" w:space="0" w:color="auto"/>
            </w:tcBorders>
            <w:vAlign w:val="center"/>
            <w:hideMark/>
          </w:tcPr>
          <w:p w:rsidR="003F1DDB" w:rsidRPr="003F1DDB" w:rsidRDefault="00FE3300" w:rsidP="000D1B04">
            <w:pPr>
              <w:spacing w:line="280" w:lineRule="exact"/>
              <w:jc w:val="right"/>
              <w:rPr>
                <w:rFonts w:ascii="宋体" w:eastAsia="宋体" w:hAnsi="宋体" w:cs="宋体"/>
                <w:sz w:val="18"/>
                <w:szCs w:val="18"/>
              </w:rPr>
            </w:pPr>
            <w:r w:rsidRPr="00FE3300">
              <w:rPr>
                <w:rFonts w:ascii="宋体" w:eastAsia="宋体" w:hAnsi="宋体" w:cs="宋体"/>
                <w:sz w:val="18"/>
                <w:szCs w:val="18"/>
              </w:rPr>
              <w:t>55.63%</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1、营业收入增加、成本对应增加；2、报告期</w:t>
            </w:r>
            <w:proofErr w:type="gramStart"/>
            <w:r w:rsidRPr="003F1DDB">
              <w:rPr>
                <w:rFonts w:ascii="宋体" w:eastAsia="宋体" w:hAnsi="宋体" w:cs="宋体" w:hint="eastAsia"/>
                <w:color w:val="000000"/>
                <w:kern w:val="0"/>
                <w:sz w:val="18"/>
                <w:szCs w:val="18"/>
              </w:rPr>
              <w:t>内营收增加</w:t>
            </w:r>
            <w:proofErr w:type="gramEnd"/>
            <w:r w:rsidRPr="003F1DDB">
              <w:rPr>
                <w:rFonts w:ascii="宋体" w:eastAsia="宋体" w:hAnsi="宋体" w:cs="宋体" w:hint="eastAsia"/>
                <w:color w:val="000000"/>
                <w:kern w:val="0"/>
                <w:sz w:val="18"/>
                <w:szCs w:val="18"/>
              </w:rPr>
              <w:t>主要是高性能特种合金材料制品收入增加，该产品毛利率较低，对应成本增加较多。</w:t>
            </w:r>
          </w:p>
        </w:tc>
      </w:tr>
      <w:tr w:rsidR="003F1DDB" w:rsidRPr="003F1DDB" w:rsidTr="0087440F">
        <w:trPr>
          <w:divId w:val="1274820585"/>
          <w:trHeight w:val="450"/>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销售费用</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xml:space="preserve"> 11,463,384.18</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24,518,987.64</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xml:space="preserve"> -13,055,603.46</w:t>
            </w:r>
          </w:p>
        </w:tc>
        <w:tc>
          <w:tcPr>
            <w:tcW w:w="1134"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-53.25%</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业务推广费用减少所致</w:t>
            </w:r>
          </w:p>
        </w:tc>
      </w:tr>
      <w:tr w:rsidR="003F1DDB" w:rsidRPr="003F1DDB" w:rsidTr="0087440F">
        <w:trPr>
          <w:divId w:val="1274820585"/>
          <w:trHeight w:val="600"/>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其他收益</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xml:space="preserve"> 21,435,618.70</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xml:space="preserve"> 6,259,796.95</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15,175,821.75</w:t>
            </w:r>
          </w:p>
        </w:tc>
        <w:tc>
          <w:tcPr>
            <w:tcW w:w="1134"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242.43%</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增值税退税金额增加</w:t>
            </w:r>
          </w:p>
        </w:tc>
      </w:tr>
      <w:tr w:rsidR="003F1DDB" w:rsidRPr="003F1DDB" w:rsidTr="0087440F">
        <w:trPr>
          <w:divId w:val="1274820585"/>
          <w:trHeight w:val="705"/>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投资收益</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43,338,072.06</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xml:space="preserve"> -4,039,473.32</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Pr>
                <w:rFonts w:ascii="宋体" w:eastAsia="宋体" w:hAnsi="宋体" w:cs="宋体" w:hint="eastAsia"/>
                <w:sz w:val="18"/>
                <w:szCs w:val="18"/>
              </w:rPr>
              <w:t> </w:t>
            </w:r>
            <w:r w:rsidRPr="003F1DDB">
              <w:rPr>
                <w:rFonts w:ascii="宋体" w:eastAsia="宋体" w:hAnsi="宋体" w:cs="宋体" w:hint="eastAsia"/>
                <w:sz w:val="18"/>
                <w:szCs w:val="18"/>
              </w:rPr>
              <w:t>47,377,545.38</w:t>
            </w:r>
          </w:p>
        </w:tc>
        <w:tc>
          <w:tcPr>
            <w:tcW w:w="1134"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1172.86%</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主要是转让参股公司芜湖华沅微电子有限公司股权和减持</w:t>
            </w:r>
            <w:proofErr w:type="gramStart"/>
            <w:r w:rsidRPr="003F1DDB">
              <w:rPr>
                <w:rFonts w:ascii="宋体" w:eastAsia="宋体" w:hAnsi="宋体" w:cs="宋体" w:hint="eastAsia"/>
                <w:color w:val="000000"/>
                <w:kern w:val="0"/>
                <w:sz w:val="18"/>
                <w:szCs w:val="18"/>
              </w:rPr>
              <w:t>锴</w:t>
            </w:r>
            <w:proofErr w:type="gramEnd"/>
            <w:r w:rsidRPr="003F1DDB">
              <w:rPr>
                <w:rFonts w:ascii="宋体" w:eastAsia="宋体" w:hAnsi="宋体" w:cs="宋体" w:hint="eastAsia"/>
                <w:color w:val="000000"/>
                <w:kern w:val="0"/>
                <w:sz w:val="18"/>
                <w:szCs w:val="18"/>
              </w:rPr>
              <w:t>威</w:t>
            </w:r>
            <w:proofErr w:type="gramStart"/>
            <w:r w:rsidRPr="003F1DDB">
              <w:rPr>
                <w:rFonts w:ascii="宋体" w:eastAsia="宋体" w:hAnsi="宋体" w:cs="宋体" w:hint="eastAsia"/>
                <w:color w:val="000000"/>
                <w:kern w:val="0"/>
                <w:sz w:val="18"/>
                <w:szCs w:val="18"/>
              </w:rPr>
              <w:t>特</w:t>
            </w:r>
            <w:proofErr w:type="gramEnd"/>
            <w:r w:rsidRPr="003F1DDB">
              <w:rPr>
                <w:rFonts w:ascii="宋体" w:eastAsia="宋体" w:hAnsi="宋体" w:cs="宋体" w:hint="eastAsia"/>
                <w:color w:val="000000"/>
                <w:kern w:val="0"/>
                <w:sz w:val="18"/>
                <w:szCs w:val="18"/>
              </w:rPr>
              <w:t>股票所致</w:t>
            </w:r>
          </w:p>
        </w:tc>
      </w:tr>
      <w:tr w:rsidR="003F1DDB" w:rsidRPr="003F1DDB" w:rsidTr="0087440F">
        <w:trPr>
          <w:divId w:val="1274820585"/>
          <w:trHeight w:val="810"/>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资产减值损失</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xml:space="preserve"> -27,714,597.77</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  -431,821.13</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-27,282,776.64</w:t>
            </w:r>
          </w:p>
        </w:tc>
        <w:tc>
          <w:tcPr>
            <w:tcW w:w="1134" w:type="dxa"/>
            <w:tcBorders>
              <w:top w:val="nil"/>
              <w:left w:val="nil"/>
              <w:bottom w:val="single" w:sz="4" w:space="0" w:color="auto"/>
              <w:right w:val="single" w:sz="4" w:space="0" w:color="auto"/>
            </w:tcBorders>
            <w:vAlign w:val="center"/>
            <w:hideMark/>
          </w:tcPr>
          <w:p w:rsidR="003F1DDB" w:rsidRPr="003F1DDB" w:rsidRDefault="00695513" w:rsidP="000D1B04">
            <w:pPr>
              <w:spacing w:line="280" w:lineRule="exact"/>
              <w:jc w:val="right"/>
              <w:rPr>
                <w:rFonts w:ascii="宋体" w:eastAsia="宋体" w:hAnsi="宋体"/>
                <w:color w:val="000000"/>
                <w:sz w:val="18"/>
                <w:szCs w:val="18"/>
              </w:rPr>
            </w:pPr>
            <w:r>
              <w:rPr>
                <w:rFonts w:ascii="宋体" w:eastAsia="宋体" w:hAnsi="宋体"/>
                <w:color w:val="000000"/>
                <w:sz w:val="18"/>
                <w:szCs w:val="18"/>
              </w:rPr>
              <w:t>-</w:t>
            </w:r>
            <w:r w:rsidR="003F1DDB" w:rsidRPr="003F1DDB">
              <w:rPr>
                <w:rFonts w:ascii="宋体" w:eastAsia="宋体" w:hAnsi="宋体" w:hint="eastAsia"/>
                <w:color w:val="000000"/>
                <w:sz w:val="18"/>
                <w:szCs w:val="18"/>
              </w:rPr>
              <w:t>6318.07%</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主要是计提商誉减值准备所致</w:t>
            </w:r>
          </w:p>
        </w:tc>
      </w:tr>
      <w:tr w:rsidR="003F1DDB" w:rsidRPr="003F1DDB" w:rsidTr="0087440F">
        <w:trPr>
          <w:divId w:val="1274820585"/>
          <w:trHeight w:val="1117"/>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营业外收入</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olor w:val="000000"/>
                <w:sz w:val="18"/>
                <w:szCs w:val="18"/>
              </w:rPr>
            </w:pPr>
            <w:r w:rsidRPr="003F1DDB">
              <w:rPr>
                <w:rFonts w:ascii="宋体" w:eastAsia="宋体" w:hAnsi="宋体" w:hint="eastAsia"/>
                <w:color w:val="000000"/>
                <w:sz w:val="18"/>
                <w:szCs w:val="18"/>
              </w:rPr>
              <w:t>31,230,449.51</w:t>
            </w:r>
          </w:p>
        </w:tc>
        <w:tc>
          <w:tcPr>
            <w:tcW w:w="1559"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s="宋体"/>
                <w:sz w:val="18"/>
                <w:szCs w:val="18"/>
              </w:rPr>
            </w:pPr>
            <w:r w:rsidRPr="003F1DDB">
              <w:rPr>
                <w:rFonts w:ascii="宋体" w:eastAsia="宋体" w:hAnsi="宋体" w:cs="宋体" w:hint="eastAsia"/>
                <w:sz w:val="18"/>
                <w:szCs w:val="18"/>
              </w:rPr>
              <w:t>3,694,635.51</w:t>
            </w:r>
          </w:p>
        </w:tc>
        <w:tc>
          <w:tcPr>
            <w:tcW w:w="1701"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olor w:val="000000"/>
                <w:sz w:val="18"/>
                <w:szCs w:val="18"/>
              </w:rPr>
            </w:pPr>
            <w:r w:rsidRPr="003F1DDB">
              <w:rPr>
                <w:rFonts w:ascii="宋体" w:eastAsia="宋体" w:hAnsi="宋体" w:hint="eastAsia"/>
                <w:color w:val="000000"/>
                <w:sz w:val="18"/>
                <w:szCs w:val="18"/>
              </w:rPr>
              <w:t>27,535,814.00</w:t>
            </w:r>
          </w:p>
        </w:tc>
        <w:tc>
          <w:tcPr>
            <w:tcW w:w="1134" w:type="dxa"/>
            <w:tcBorders>
              <w:top w:val="nil"/>
              <w:left w:val="nil"/>
              <w:bottom w:val="single" w:sz="4" w:space="0" w:color="auto"/>
              <w:right w:val="single" w:sz="4" w:space="0" w:color="auto"/>
            </w:tcBorders>
            <w:vAlign w:val="center"/>
            <w:hideMark/>
          </w:tcPr>
          <w:p w:rsidR="003F1DDB" w:rsidRPr="003F1DDB" w:rsidRDefault="003F1DDB" w:rsidP="000D1B04">
            <w:pPr>
              <w:spacing w:line="280" w:lineRule="exact"/>
              <w:jc w:val="right"/>
              <w:rPr>
                <w:rFonts w:ascii="宋体" w:eastAsia="宋体" w:hAnsi="宋体"/>
                <w:color w:val="000000"/>
                <w:sz w:val="18"/>
                <w:szCs w:val="18"/>
              </w:rPr>
            </w:pPr>
            <w:r w:rsidRPr="003F1DDB">
              <w:rPr>
                <w:rFonts w:ascii="宋体" w:eastAsia="宋体" w:hAnsi="宋体" w:hint="eastAsia"/>
                <w:color w:val="000000"/>
                <w:sz w:val="18"/>
                <w:szCs w:val="18"/>
              </w:rPr>
              <w:t>745.29%</w:t>
            </w:r>
          </w:p>
        </w:tc>
        <w:tc>
          <w:tcPr>
            <w:tcW w:w="2268" w:type="dxa"/>
            <w:tcBorders>
              <w:top w:val="nil"/>
              <w:left w:val="nil"/>
              <w:bottom w:val="single" w:sz="4" w:space="0" w:color="auto"/>
              <w:right w:val="single" w:sz="4" w:space="0" w:color="auto"/>
            </w:tcBorders>
            <w:vAlign w:val="center"/>
            <w:hideMark/>
          </w:tcPr>
          <w:p w:rsidR="003F1DDB" w:rsidRPr="003F1DDB" w:rsidRDefault="003F1DDB" w:rsidP="000D1B04">
            <w:pPr>
              <w:widowControl/>
              <w:spacing w:line="280" w:lineRule="exact"/>
              <w:rPr>
                <w:rFonts w:ascii="宋体" w:eastAsia="宋体" w:hAnsi="宋体" w:cs="宋体"/>
                <w:color w:val="000000"/>
                <w:kern w:val="0"/>
                <w:sz w:val="18"/>
                <w:szCs w:val="18"/>
              </w:rPr>
            </w:pPr>
            <w:r w:rsidRPr="003F1DDB">
              <w:rPr>
                <w:rFonts w:ascii="宋体" w:eastAsia="宋体" w:hAnsi="宋体" w:cs="宋体" w:hint="eastAsia"/>
                <w:color w:val="000000"/>
                <w:kern w:val="0"/>
                <w:sz w:val="18"/>
                <w:szCs w:val="18"/>
              </w:rPr>
              <w:t>主要是业绩承诺标的资产沈阳非晶在利润保障期内未达到业绩承诺要求，业绩承诺方郝宏伟先生将其直接及间接持有的沈阳非晶股权全部转让给公司作为补偿，公司按股权公允价值确认营业外收入3,096.26万元</w:t>
            </w:r>
          </w:p>
        </w:tc>
      </w:tr>
    </w:tbl>
    <w:p w:rsidR="00A45740" w:rsidRDefault="00A45740" w:rsidP="00A45740">
      <w:pPr>
        <w:pStyle w:val="a3"/>
        <w:spacing w:before="0" w:beforeAutospacing="0" w:after="0" w:afterAutospacing="0"/>
        <w:divId w:val="1274820585"/>
        <w:rPr>
          <w:sz w:val="18"/>
          <w:szCs w:val="18"/>
        </w:rPr>
      </w:pPr>
    </w:p>
    <w:tbl>
      <w:tblPr>
        <w:tblW w:w="9771" w:type="dxa"/>
        <w:tblLayout w:type="fixed"/>
        <w:tblCellMar>
          <w:left w:w="0" w:type="dxa"/>
          <w:right w:w="0" w:type="dxa"/>
        </w:tblCellMar>
        <w:tblLook w:val="04A0" w:firstRow="1" w:lastRow="0" w:firstColumn="1" w:lastColumn="0" w:noHBand="0" w:noVBand="1"/>
      </w:tblPr>
      <w:tblGrid>
        <w:gridCol w:w="2278"/>
        <w:gridCol w:w="1701"/>
        <w:gridCol w:w="1417"/>
        <w:gridCol w:w="1418"/>
        <w:gridCol w:w="1134"/>
        <w:gridCol w:w="1823"/>
      </w:tblGrid>
      <w:tr w:rsidR="00C65637" w:rsidTr="0087440F">
        <w:trPr>
          <w:divId w:val="1274820585"/>
          <w:trHeight w:val="288"/>
        </w:trPr>
        <w:tc>
          <w:tcPr>
            <w:tcW w:w="2278"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jc w:val="center"/>
              <w:rPr>
                <w:rFonts w:ascii="宋体" w:eastAsia="宋体" w:hAnsi="宋体"/>
                <w:color w:val="000000"/>
                <w:sz w:val="18"/>
                <w:szCs w:val="18"/>
              </w:rPr>
            </w:pPr>
            <w:r w:rsidRPr="000D1B04">
              <w:rPr>
                <w:rFonts w:ascii="宋体" w:eastAsia="宋体" w:hAnsi="宋体" w:hint="eastAsia"/>
                <w:color w:val="000000"/>
                <w:sz w:val="18"/>
                <w:szCs w:val="18"/>
              </w:rPr>
              <w:t>项目</w:t>
            </w:r>
          </w:p>
        </w:tc>
        <w:tc>
          <w:tcPr>
            <w:tcW w:w="1701" w:type="dxa"/>
            <w:tcBorders>
              <w:top w:val="single" w:sz="8" w:space="0" w:color="auto"/>
              <w:left w:val="nil"/>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jc w:val="center"/>
              <w:rPr>
                <w:rFonts w:ascii="宋体" w:eastAsia="宋体" w:hAnsi="宋体"/>
                <w:color w:val="000000"/>
                <w:sz w:val="18"/>
                <w:szCs w:val="18"/>
              </w:rPr>
            </w:pPr>
            <w:r w:rsidRPr="000D1B04">
              <w:rPr>
                <w:rFonts w:ascii="宋体" w:eastAsia="宋体" w:hAnsi="宋体" w:hint="eastAsia"/>
                <w:color w:val="000000"/>
                <w:sz w:val="18"/>
                <w:szCs w:val="18"/>
              </w:rPr>
              <w:t>本期发生额</w:t>
            </w:r>
          </w:p>
        </w:tc>
        <w:tc>
          <w:tcPr>
            <w:tcW w:w="1417" w:type="dxa"/>
            <w:tcBorders>
              <w:top w:val="single" w:sz="8" w:space="0" w:color="auto"/>
              <w:left w:val="nil"/>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jc w:val="center"/>
              <w:rPr>
                <w:rFonts w:ascii="宋体" w:eastAsia="宋体" w:hAnsi="宋体"/>
                <w:color w:val="000000"/>
                <w:sz w:val="18"/>
                <w:szCs w:val="18"/>
              </w:rPr>
            </w:pPr>
            <w:r w:rsidRPr="000D1B04">
              <w:rPr>
                <w:rFonts w:ascii="宋体" w:eastAsia="宋体" w:hAnsi="宋体" w:hint="eastAsia"/>
                <w:color w:val="000000"/>
                <w:sz w:val="18"/>
                <w:szCs w:val="18"/>
              </w:rPr>
              <w:t>上期发生额</w:t>
            </w:r>
          </w:p>
        </w:tc>
        <w:tc>
          <w:tcPr>
            <w:tcW w:w="1418" w:type="dxa"/>
            <w:tcBorders>
              <w:top w:val="single" w:sz="8" w:space="0" w:color="auto"/>
              <w:left w:val="nil"/>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jc w:val="center"/>
              <w:rPr>
                <w:rFonts w:ascii="宋体" w:eastAsia="宋体" w:hAnsi="宋体"/>
                <w:color w:val="000000"/>
                <w:sz w:val="18"/>
                <w:szCs w:val="18"/>
              </w:rPr>
            </w:pPr>
            <w:r w:rsidRPr="000D1B04">
              <w:rPr>
                <w:rFonts w:ascii="宋体" w:eastAsia="宋体" w:hAnsi="宋体" w:hint="eastAsia"/>
                <w:color w:val="000000"/>
                <w:sz w:val="18"/>
                <w:szCs w:val="18"/>
              </w:rPr>
              <w:t>增减额</w:t>
            </w:r>
          </w:p>
        </w:tc>
        <w:tc>
          <w:tcPr>
            <w:tcW w:w="1134" w:type="dxa"/>
            <w:tcBorders>
              <w:top w:val="single" w:sz="8" w:space="0" w:color="auto"/>
              <w:left w:val="nil"/>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jc w:val="center"/>
              <w:rPr>
                <w:rFonts w:ascii="宋体" w:eastAsia="宋体" w:hAnsi="宋体"/>
                <w:color w:val="000000"/>
                <w:sz w:val="18"/>
                <w:szCs w:val="18"/>
              </w:rPr>
            </w:pPr>
            <w:r w:rsidRPr="000D1B04">
              <w:rPr>
                <w:rFonts w:ascii="宋体" w:eastAsia="宋体" w:hAnsi="宋体" w:hint="eastAsia"/>
                <w:color w:val="000000"/>
                <w:sz w:val="18"/>
                <w:szCs w:val="18"/>
              </w:rPr>
              <w:t>增减比例</w:t>
            </w:r>
          </w:p>
        </w:tc>
        <w:tc>
          <w:tcPr>
            <w:tcW w:w="1823" w:type="dxa"/>
            <w:tcBorders>
              <w:top w:val="single" w:sz="8" w:space="0" w:color="auto"/>
              <w:left w:val="nil"/>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jc w:val="center"/>
              <w:rPr>
                <w:rFonts w:ascii="宋体" w:eastAsia="宋体" w:hAnsi="宋体"/>
                <w:color w:val="000000"/>
                <w:sz w:val="18"/>
                <w:szCs w:val="18"/>
              </w:rPr>
            </w:pPr>
            <w:r w:rsidRPr="000D1B04">
              <w:rPr>
                <w:rFonts w:ascii="宋体" w:eastAsia="宋体" w:hAnsi="宋体" w:hint="eastAsia"/>
                <w:color w:val="000000"/>
                <w:sz w:val="18"/>
                <w:szCs w:val="18"/>
              </w:rPr>
              <w:t>变动情况说明</w:t>
            </w:r>
          </w:p>
        </w:tc>
      </w:tr>
      <w:tr w:rsidR="00C65637" w:rsidTr="0087440F">
        <w:trPr>
          <w:divId w:val="1274820585"/>
          <w:trHeight w:val="288"/>
        </w:trPr>
        <w:tc>
          <w:tcPr>
            <w:tcW w:w="2278" w:type="dxa"/>
            <w:tcBorders>
              <w:top w:val="nil"/>
              <w:left w:val="single" w:sz="8" w:space="0" w:color="auto"/>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rPr>
                <w:rFonts w:ascii="宋体" w:eastAsia="宋体" w:hAnsi="宋体"/>
                <w:color w:val="000000"/>
                <w:sz w:val="18"/>
                <w:szCs w:val="18"/>
              </w:rPr>
            </w:pPr>
            <w:r w:rsidRPr="000D1B04">
              <w:rPr>
                <w:rFonts w:ascii="宋体" w:eastAsia="宋体" w:hAnsi="宋体" w:hint="eastAsia"/>
                <w:color w:val="000000"/>
                <w:sz w:val="18"/>
                <w:szCs w:val="18"/>
              </w:rPr>
              <w:t>销售商品、提供劳务收到的现金</w:t>
            </w:r>
          </w:p>
        </w:tc>
        <w:tc>
          <w:tcPr>
            <w:tcW w:w="1701"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381,941,033.90</w:t>
            </w:r>
          </w:p>
        </w:tc>
        <w:tc>
          <w:tcPr>
            <w:tcW w:w="1417"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238,900,292.93</w:t>
            </w:r>
          </w:p>
        </w:tc>
        <w:tc>
          <w:tcPr>
            <w:tcW w:w="1418"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143,040,740.97</w:t>
            </w:r>
          </w:p>
        </w:tc>
        <w:tc>
          <w:tcPr>
            <w:tcW w:w="1134"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59.87%</w:t>
            </w:r>
          </w:p>
        </w:tc>
        <w:tc>
          <w:tcPr>
            <w:tcW w:w="1823"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rPr>
                <w:rFonts w:ascii="宋体" w:eastAsia="宋体" w:hAnsi="宋体"/>
                <w:color w:val="000000"/>
                <w:sz w:val="18"/>
                <w:szCs w:val="18"/>
              </w:rPr>
            </w:pPr>
            <w:r w:rsidRPr="000D1B04">
              <w:rPr>
                <w:rFonts w:ascii="宋体" w:eastAsia="宋体" w:hAnsi="宋体" w:hint="eastAsia"/>
                <w:color w:val="000000"/>
                <w:sz w:val="18"/>
                <w:szCs w:val="18"/>
              </w:rPr>
              <w:t>销售回款金额增加</w:t>
            </w:r>
          </w:p>
        </w:tc>
      </w:tr>
      <w:tr w:rsidR="00C65637" w:rsidTr="0087440F">
        <w:trPr>
          <w:divId w:val="1274820585"/>
          <w:trHeight w:val="288"/>
        </w:trPr>
        <w:tc>
          <w:tcPr>
            <w:tcW w:w="2278" w:type="dxa"/>
            <w:tcBorders>
              <w:top w:val="nil"/>
              <w:left w:val="single" w:sz="8" w:space="0" w:color="auto"/>
              <w:bottom w:val="single" w:sz="8" w:space="0" w:color="auto"/>
              <w:right w:val="single" w:sz="8" w:space="0" w:color="auto"/>
            </w:tcBorders>
            <w:shd w:val="clear" w:color="auto" w:fill="D9D9D9"/>
            <w:noWrap/>
            <w:vAlign w:val="center"/>
            <w:hideMark/>
          </w:tcPr>
          <w:p w:rsidR="00C65637" w:rsidRPr="000D1B04" w:rsidRDefault="00C65637" w:rsidP="000D1B04">
            <w:pPr>
              <w:spacing w:line="280" w:lineRule="exact"/>
              <w:rPr>
                <w:rFonts w:ascii="宋体" w:eastAsia="宋体" w:hAnsi="宋体"/>
                <w:color w:val="000000"/>
                <w:sz w:val="18"/>
                <w:szCs w:val="18"/>
              </w:rPr>
            </w:pPr>
            <w:r w:rsidRPr="000D1B04">
              <w:rPr>
                <w:rFonts w:ascii="宋体" w:eastAsia="宋体" w:hAnsi="宋体" w:hint="eastAsia"/>
                <w:color w:val="000000"/>
                <w:sz w:val="18"/>
                <w:szCs w:val="18"/>
              </w:rPr>
              <w:t>购买商品、接受劳务支付的现金</w:t>
            </w:r>
          </w:p>
        </w:tc>
        <w:tc>
          <w:tcPr>
            <w:tcW w:w="1701"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255,858,908.60</w:t>
            </w:r>
          </w:p>
        </w:tc>
        <w:tc>
          <w:tcPr>
            <w:tcW w:w="1417"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147,286,520.12</w:t>
            </w:r>
          </w:p>
        </w:tc>
        <w:tc>
          <w:tcPr>
            <w:tcW w:w="1418"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108,572,388.48</w:t>
            </w:r>
          </w:p>
        </w:tc>
        <w:tc>
          <w:tcPr>
            <w:tcW w:w="1134" w:type="dxa"/>
            <w:tcBorders>
              <w:top w:val="nil"/>
              <w:left w:val="nil"/>
              <w:bottom w:val="single" w:sz="8" w:space="0" w:color="auto"/>
              <w:right w:val="single" w:sz="8" w:space="0" w:color="auto"/>
            </w:tcBorders>
            <w:noWrap/>
            <w:vAlign w:val="center"/>
            <w:hideMark/>
          </w:tcPr>
          <w:p w:rsidR="00C65637" w:rsidRPr="000D1B04" w:rsidRDefault="00C65637" w:rsidP="000D1B04">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73.72%</w:t>
            </w:r>
          </w:p>
        </w:tc>
        <w:tc>
          <w:tcPr>
            <w:tcW w:w="1823" w:type="dxa"/>
            <w:tcBorders>
              <w:top w:val="nil"/>
              <w:left w:val="nil"/>
              <w:bottom w:val="single" w:sz="8" w:space="0" w:color="auto"/>
              <w:right w:val="single" w:sz="8" w:space="0" w:color="auto"/>
            </w:tcBorders>
            <w:vAlign w:val="center"/>
            <w:hideMark/>
          </w:tcPr>
          <w:p w:rsidR="00C65637" w:rsidRPr="000D1B04" w:rsidRDefault="00C65637" w:rsidP="000D1B04">
            <w:pPr>
              <w:spacing w:line="280" w:lineRule="exact"/>
              <w:rPr>
                <w:rFonts w:ascii="宋体" w:eastAsia="宋体" w:hAnsi="宋体"/>
                <w:color w:val="000000"/>
                <w:sz w:val="18"/>
                <w:szCs w:val="18"/>
              </w:rPr>
            </w:pPr>
            <w:r w:rsidRPr="000D1B04">
              <w:rPr>
                <w:rFonts w:ascii="宋体" w:eastAsia="宋体" w:hAnsi="宋体" w:hint="eastAsia"/>
                <w:color w:val="000000"/>
                <w:sz w:val="18"/>
                <w:szCs w:val="18"/>
              </w:rPr>
              <w:t>公司根据市场情况进行备货所致</w:t>
            </w:r>
          </w:p>
        </w:tc>
      </w:tr>
      <w:tr w:rsidR="00012C1E" w:rsidTr="0087440F">
        <w:trPr>
          <w:divId w:val="1274820585"/>
          <w:trHeight w:val="288"/>
        </w:trPr>
        <w:tc>
          <w:tcPr>
            <w:tcW w:w="2278" w:type="dxa"/>
            <w:tcBorders>
              <w:top w:val="nil"/>
              <w:left w:val="single" w:sz="8" w:space="0" w:color="auto"/>
              <w:bottom w:val="single" w:sz="8" w:space="0" w:color="auto"/>
              <w:right w:val="single" w:sz="8" w:space="0" w:color="auto"/>
            </w:tcBorders>
            <w:shd w:val="clear" w:color="auto" w:fill="D9D9D9"/>
            <w:noWrap/>
            <w:vAlign w:val="center"/>
            <w:hideMark/>
          </w:tcPr>
          <w:p w:rsidR="00012C1E" w:rsidRPr="000D1B04" w:rsidRDefault="00012C1E" w:rsidP="00012C1E">
            <w:pPr>
              <w:spacing w:line="280" w:lineRule="exact"/>
              <w:rPr>
                <w:rFonts w:ascii="宋体" w:eastAsia="宋体" w:hAnsi="宋体"/>
                <w:color w:val="000000"/>
                <w:sz w:val="18"/>
                <w:szCs w:val="18"/>
              </w:rPr>
            </w:pPr>
            <w:r w:rsidRPr="000D1B04">
              <w:rPr>
                <w:rFonts w:ascii="宋体" w:eastAsia="宋体" w:hAnsi="宋体" w:hint="eastAsia"/>
                <w:color w:val="000000"/>
                <w:sz w:val="18"/>
                <w:szCs w:val="18"/>
              </w:rPr>
              <w:t>取得子公司及其他营业单位支付的现金净额</w:t>
            </w:r>
          </w:p>
        </w:tc>
        <w:tc>
          <w:tcPr>
            <w:tcW w:w="1701" w:type="dxa"/>
            <w:tcBorders>
              <w:top w:val="nil"/>
              <w:left w:val="nil"/>
              <w:bottom w:val="single" w:sz="8" w:space="0" w:color="auto"/>
              <w:right w:val="single" w:sz="8" w:space="0" w:color="auto"/>
            </w:tcBorders>
            <w:noWrap/>
            <w:vAlign w:val="center"/>
            <w:hideMark/>
          </w:tcPr>
          <w:p w:rsidR="00012C1E" w:rsidRPr="000D1B04" w:rsidRDefault="00012C1E" w:rsidP="00012C1E">
            <w:pPr>
              <w:spacing w:line="280" w:lineRule="exact"/>
              <w:jc w:val="right"/>
              <w:rPr>
                <w:rFonts w:ascii="宋体" w:eastAsia="宋体" w:hAnsi="宋体"/>
                <w:color w:val="000000"/>
                <w:sz w:val="18"/>
                <w:szCs w:val="18"/>
              </w:rPr>
            </w:pPr>
            <w:r w:rsidRPr="00C449E8">
              <w:rPr>
                <w:rFonts w:ascii="宋体" w:eastAsia="宋体" w:hAnsi="宋体"/>
                <w:color w:val="000000"/>
                <w:sz w:val="18"/>
                <w:szCs w:val="18"/>
              </w:rPr>
              <w:t>213,246,575.16</w:t>
            </w:r>
          </w:p>
        </w:tc>
        <w:tc>
          <w:tcPr>
            <w:tcW w:w="1417" w:type="dxa"/>
            <w:tcBorders>
              <w:top w:val="nil"/>
              <w:left w:val="nil"/>
              <w:bottom w:val="single" w:sz="8" w:space="0" w:color="auto"/>
              <w:right w:val="single" w:sz="8" w:space="0" w:color="auto"/>
            </w:tcBorders>
            <w:noWrap/>
            <w:vAlign w:val="center"/>
            <w:hideMark/>
          </w:tcPr>
          <w:p w:rsidR="00012C1E" w:rsidRPr="000D1B04" w:rsidRDefault="00012C1E" w:rsidP="00012C1E">
            <w:pPr>
              <w:spacing w:line="280" w:lineRule="exact"/>
              <w:jc w:val="right"/>
              <w:rPr>
                <w:rFonts w:ascii="宋体" w:eastAsia="宋体" w:hAnsi="宋体"/>
                <w:color w:val="000000"/>
                <w:sz w:val="18"/>
                <w:szCs w:val="18"/>
              </w:rPr>
            </w:pPr>
            <w:r w:rsidRPr="000D1B04">
              <w:rPr>
                <w:rFonts w:ascii="宋体" w:eastAsia="宋体" w:hAnsi="宋体" w:hint="eastAsia"/>
                <w:color w:val="000000"/>
                <w:sz w:val="18"/>
                <w:szCs w:val="18"/>
              </w:rPr>
              <w:t>0.00</w:t>
            </w:r>
          </w:p>
        </w:tc>
        <w:tc>
          <w:tcPr>
            <w:tcW w:w="1418" w:type="dxa"/>
            <w:tcBorders>
              <w:top w:val="nil"/>
              <w:left w:val="nil"/>
              <w:bottom w:val="single" w:sz="8" w:space="0" w:color="auto"/>
              <w:right w:val="single" w:sz="8" w:space="0" w:color="auto"/>
            </w:tcBorders>
            <w:noWrap/>
            <w:vAlign w:val="center"/>
            <w:hideMark/>
          </w:tcPr>
          <w:p w:rsidR="00012C1E" w:rsidRPr="000D1B04" w:rsidRDefault="00012C1E" w:rsidP="00012C1E">
            <w:pPr>
              <w:spacing w:line="280" w:lineRule="exact"/>
              <w:jc w:val="right"/>
              <w:rPr>
                <w:rFonts w:ascii="宋体" w:eastAsia="宋体" w:hAnsi="宋体"/>
                <w:color w:val="000000"/>
                <w:sz w:val="18"/>
                <w:szCs w:val="18"/>
              </w:rPr>
            </w:pPr>
            <w:r w:rsidRPr="00C449E8">
              <w:rPr>
                <w:rFonts w:ascii="宋体" w:eastAsia="宋体" w:hAnsi="宋体"/>
                <w:color w:val="000000"/>
                <w:sz w:val="18"/>
                <w:szCs w:val="18"/>
              </w:rPr>
              <w:t>213,246,575.16</w:t>
            </w:r>
          </w:p>
        </w:tc>
        <w:tc>
          <w:tcPr>
            <w:tcW w:w="1134" w:type="dxa"/>
            <w:tcBorders>
              <w:top w:val="nil"/>
              <w:left w:val="nil"/>
              <w:bottom w:val="single" w:sz="8" w:space="0" w:color="auto"/>
              <w:right w:val="single" w:sz="8" w:space="0" w:color="auto"/>
            </w:tcBorders>
            <w:noWrap/>
            <w:vAlign w:val="center"/>
            <w:hideMark/>
          </w:tcPr>
          <w:p w:rsidR="00012C1E" w:rsidRPr="000D1B04" w:rsidRDefault="00012C1E" w:rsidP="00012C1E">
            <w:pPr>
              <w:spacing w:line="280" w:lineRule="exact"/>
              <w:jc w:val="right"/>
              <w:rPr>
                <w:rFonts w:ascii="宋体" w:eastAsia="宋体" w:hAnsi="宋体"/>
                <w:color w:val="000000"/>
                <w:sz w:val="18"/>
                <w:szCs w:val="18"/>
              </w:rPr>
            </w:pPr>
            <w:r w:rsidRPr="00C65637">
              <w:rPr>
                <w:rFonts w:ascii="宋体" w:eastAsia="宋体" w:hAnsi="宋体" w:hint="eastAsia"/>
                <w:color w:val="000000"/>
                <w:sz w:val="18"/>
                <w:szCs w:val="18"/>
              </w:rPr>
              <w:t>-</w:t>
            </w:r>
          </w:p>
        </w:tc>
        <w:tc>
          <w:tcPr>
            <w:tcW w:w="1823" w:type="dxa"/>
            <w:tcBorders>
              <w:top w:val="nil"/>
              <w:left w:val="nil"/>
              <w:bottom w:val="single" w:sz="8" w:space="0" w:color="auto"/>
              <w:right w:val="single" w:sz="8" w:space="0" w:color="auto"/>
            </w:tcBorders>
            <w:vAlign w:val="center"/>
            <w:hideMark/>
          </w:tcPr>
          <w:p w:rsidR="00012C1E" w:rsidRPr="000D1B04" w:rsidRDefault="00012C1E" w:rsidP="00012C1E">
            <w:pPr>
              <w:spacing w:line="280" w:lineRule="exact"/>
              <w:rPr>
                <w:rFonts w:ascii="宋体" w:eastAsia="宋体" w:hAnsi="宋体"/>
                <w:color w:val="000000"/>
                <w:sz w:val="18"/>
                <w:szCs w:val="18"/>
              </w:rPr>
            </w:pPr>
            <w:r w:rsidRPr="000D1B04">
              <w:rPr>
                <w:rFonts w:ascii="宋体" w:eastAsia="宋体" w:hAnsi="宋体" w:hint="eastAsia"/>
                <w:color w:val="000000"/>
                <w:sz w:val="18"/>
                <w:szCs w:val="18"/>
              </w:rPr>
              <w:t>收购甘鑫公司股权，支付股权转让款所致</w:t>
            </w:r>
          </w:p>
        </w:tc>
      </w:tr>
    </w:tbl>
    <w:bookmarkEnd w:id="5"/>
    <w:bookmarkEnd w:id="6"/>
    <w:p w:rsidR="00C65637" w:rsidRDefault="00C65637">
      <w:pPr>
        <w:pStyle w:val="a3"/>
        <w:divId w:val="1274820585"/>
        <w:rPr>
          <w:sz w:val="18"/>
          <w:szCs w:val="18"/>
        </w:rPr>
      </w:pPr>
      <w:r>
        <w:rPr>
          <w:rFonts w:hint="eastAsia"/>
          <w:sz w:val="18"/>
          <w:szCs w:val="18"/>
        </w:rPr>
        <w:t> </w:t>
      </w:r>
    </w:p>
    <w:p w:rsidR="000701B7" w:rsidRDefault="00C65637">
      <w:pPr>
        <w:pStyle w:val="headingh1"/>
        <w:spacing w:before="300" w:after="300" w:line="320" w:lineRule="exact"/>
        <w:rPr>
          <w:rFonts w:ascii="宋体" w:eastAsia="宋体" w:hAnsi="宋体" w:cs="宋体"/>
          <w:b/>
          <w:bCs/>
          <w:sz w:val="24"/>
          <w:szCs w:val="24"/>
        </w:rPr>
      </w:pPr>
      <w:bookmarkStart w:id="7" w:name="_Toc988893"/>
      <w:r>
        <w:rPr>
          <w:rFonts w:ascii="宋体" w:eastAsia="宋体" w:hAnsi="宋体" w:cs="宋体"/>
          <w:b/>
          <w:bCs/>
          <w:sz w:val="24"/>
          <w:szCs w:val="24"/>
        </w:rPr>
        <w:lastRenderedPageBreak/>
        <w:t>二、股东信息</w:t>
      </w:r>
      <w:bookmarkEnd w:id="7"/>
    </w:p>
    <w:p w:rsidR="000701B7" w:rsidRDefault="00C65637">
      <w:pPr>
        <w:pStyle w:val="2"/>
        <w:spacing w:before="300" w:after="300" w:line="280" w:lineRule="exact"/>
        <w:rPr>
          <w:rFonts w:ascii="宋体" w:eastAsia="宋体" w:hAnsi="宋体" w:cs="宋体"/>
          <w:b/>
          <w:bCs/>
        </w:rPr>
      </w:pPr>
      <w:bookmarkStart w:id="8" w:name="_Toc988894"/>
      <w:r>
        <w:rPr>
          <w:rFonts w:ascii="宋体" w:eastAsia="宋体" w:hAnsi="宋体" w:cs="宋体"/>
          <w:b/>
          <w:bCs/>
        </w:rPr>
        <w:t>（一） 普通股股东总数和表决权恢复的优先股股东数量及前十名股东持股情况表</w:t>
      </w:r>
      <w:bookmarkEnd w:id="8"/>
    </w:p>
    <w:p w:rsidR="000701B7" w:rsidRDefault="00C65637">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796"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10"/>
        <w:gridCol w:w="1276"/>
        <w:gridCol w:w="992"/>
        <w:gridCol w:w="1522"/>
        <w:gridCol w:w="52"/>
        <w:gridCol w:w="1325"/>
        <w:gridCol w:w="93"/>
        <w:gridCol w:w="20"/>
        <w:gridCol w:w="958"/>
        <w:gridCol w:w="1134"/>
        <w:gridCol w:w="14"/>
      </w:tblGrid>
      <w:tr w:rsidR="000701B7" w:rsidRPr="001C3110" w:rsidTr="001C311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报告期末普通股股东总数</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37,910</w:t>
            </w:r>
          </w:p>
        </w:tc>
        <w:tc>
          <w:tcPr>
            <w:tcW w:w="4004"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报告期末表决权恢复的优先股股东总数（如有）</w:t>
            </w:r>
          </w:p>
        </w:tc>
        <w:tc>
          <w:tcPr>
            <w:tcW w:w="210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trHeight w:val="240"/>
        </w:trPr>
        <w:tc>
          <w:tcPr>
            <w:tcW w:w="979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前10名股东持股情况（不含通过转融通出借股份）</w:t>
            </w:r>
          </w:p>
        </w:tc>
      </w:tr>
      <w:tr w:rsidR="000701B7" w:rsidRPr="001C3110" w:rsidTr="001C3110">
        <w:trPr>
          <w:gridAfter w:val="1"/>
          <w:wAfter w:w="14" w:type="dxa"/>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股东名称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持股比例</w:t>
            </w:r>
          </w:p>
        </w:tc>
        <w:tc>
          <w:tcPr>
            <w:tcW w:w="152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持股数量</w:t>
            </w:r>
          </w:p>
        </w:tc>
        <w:tc>
          <w:tcPr>
            <w:tcW w:w="137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持有有限</w:t>
            </w:r>
            <w:proofErr w:type="gramStart"/>
            <w:r w:rsidRPr="001C3110">
              <w:rPr>
                <w:rFonts w:ascii="宋体" w:eastAsia="宋体" w:hAnsi="宋体" w:cs="宋体"/>
                <w:sz w:val="18"/>
                <w:szCs w:val="18"/>
              </w:rPr>
              <w:t>售条件</w:t>
            </w:r>
            <w:proofErr w:type="gramEnd"/>
            <w:r w:rsidRPr="001C3110">
              <w:rPr>
                <w:rFonts w:ascii="宋体" w:eastAsia="宋体" w:hAnsi="宋体" w:cs="宋体"/>
                <w:sz w:val="18"/>
                <w:szCs w:val="18"/>
              </w:rPr>
              <w:t>的股份数量</w:t>
            </w:r>
          </w:p>
        </w:tc>
        <w:tc>
          <w:tcPr>
            <w:tcW w:w="22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质押、标记或冻结情况</w:t>
            </w:r>
          </w:p>
        </w:tc>
      </w:tr>
      <w:tr w:rsidR="000701B7" w:rsidRPr="001C3110" w:rsidTr="001C3110">
        <w:trPr>
          <w:gridAfter w:val="1"/>
          <w:wAfter w:w="14" w:type="dxa"/>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152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1377"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107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数量</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35.77%</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156,087,400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40,000,000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谢慧明</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2.54%</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11,104,200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招商银行股份有限公司－中欧高端装备股票型发起式证券投资基金</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1.95%</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8,500,001</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胡成中</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1.46%</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6,350,000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中国建设银行股份有限公司－长信国防军工量化灵活配置混合型证券投资基金</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1.33%</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5,786,700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姚国成</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0.74%</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3,218,200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刘丽萍</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0.71%</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3,098,000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中国太平洋人寿保险股份有限公司－万能－个人万能</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0.68%</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2,949,988</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proofErr w:type="gramStart"/>
            <w:r w:rsidRPr="001C3110">
              <w:rPr>
                <w:rFonts w:ascii="宋体" w:eastAsia="宋体" w:hAnsi="宋体" w:cs="宋体"/>
                <w:sz w:val="18"/>
                <w:szCs w:val="18"/>
              </w:rPr>
              <w:t>车晨</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0.43%</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1,871,100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gridAfter w:val="1"/>
          <w:wAfter w:w="14" w:type="dxa"/>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中国太平洋人寿保险股份有限公司－分红-个人分红</w:t>
            </w:r>
          </w:p>
        </w:tc>
        <w:tc>
          <w:tcPr>
            <w:tcW w:w="1276"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0.37%</w:t>
            </w:r>
          </w:p>
        </w:tc>
        <w:tc>
          <w:tcPr>
            <w:tcW w:w="1522"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1,611,500</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c>
          <w:tcPr>
            <w:tcW w:w="1071"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0</w:t>
            </w:r>
          </w:p>
        </w:tc>
      </w:tr>
      <w:tr w:rsidR="000701B7" w:rsidRPr="001C3110" w:rsidTr="001C3110">
        <w:trPr>
          <w:trHeight w:val="240"/>
        </w:trPr>
        <w:tc>
          <w:tcPr>
            <w:tcW w:w="979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前10名无限</w:t>
            </w:r>
            <w:proofErr w:type="gramStart"/>
            <w:r w:rsidRPr="001C3110">
              <w:rPr>
                <w:rFonts w:ascii="宋体" w:eastAsia="宋体" w:hAnsi="宋体" w:cs="宋体"/>
                <w:sz w:val="18"/>
                <w:szCs w:val="18"/>
              </w:rPr>
              <w:t>售条件</w:t>
            </w:r>
            <w:proofErr w:type="gramEnd"/>
            <w:r w:rsidRPr="001C3110">
              <w:rPr>
                <w:rFonts w:ascii="宋体" w:eastAsia="宋体" w:hAnsi="宋体" w:cs="宋体"/>
                <w:sz w:val="18"/>
                <w:szCs w:val="18"/>
              </w:rPr>
              <w:t>股东持股情况（不含通过转融通出借股份、高管锁定股）</w:t>
            </w:r>
          </w:p>
        </w:tc>
      </w:tr>
      <w:tr w:rsidR="000701B7" w:rsidRPr="001C3110" w:rsidTr="001C3110">
        <w:trPr>
          <w:trHeight w:val="240"/>
        </w:trPr>
        <w:tc>
          <w:tcPr>
            <w:tcW w:w="368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股东名称</w:t>
            </w:r>
          </w:p>
        </w:tc>
        <w:tc>
          <w:tcPr>
            <w:tcW w:w="2566"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持有无限</w:t>
            </w:r>
            <w:proofErr w:type="gramStart"/>
            <w:r w:rsidRPr="001C3110">
              <w:rPr>
                <w:rFonts w:ascii="宋体" w:eastAsia="宋体" w:hAnsi="宋体" w:cs="宋体"/>
                <w:sz w:val="18"/>
                <w:szCs w:val="18"/>
              </w:rPr>
              <w:t>售条件</w:t>
            </w:r>
            <w:proofErr w:type="gramEnd"/>
            <w:r w:rsidRPr="001C3110">
              <w:rPr>
                <w:rFonts w:ascii="宋体" w:eastAsia="宋体" w:hAnsi="宋体" w:cs="宋体"/>
                <w:sz w:val="18"/>
                <w:szCs w:val="18"/>
              </w:rPr>
              <w:t>股份数量</w:t>
            </w:r>
          </w:p>
        </w:tc>
        <w:tc>
          <w:tcPr>
            <w:tcW w:w="3544"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股份种类及数量</w:t>
            </w:r>
          </w:p>
        </w:tc>
      </w:tr>
      <w:tr w:rsidR="000701B7" w:rsidRPr="001C3110" w:rsidTr="001C3110">
        <w:trPr>
          <w:trHeight w:val="240"/>
        </w:trPr>
        <w:tc>
          <w:tcPr>
            <w:tcW w:w="368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2566"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0701B7" w:rsidP="001C3110">
            <w:pPr>
              <w:spacing w:line="280" w:lineRule="exact"/>
              <w:rPr>
                <w:rFonts w:ascii="宋体" w:eastAsia="宋体" w:hAnsi="宋体"/>
                <w:sz w:val="18"/>
                <w:szCs w:val="18"/>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股份种类</w:t>
            </w:r>
          </w:p>
        </w:tc>
        <w:tc>
          <w:tcPr>
            <w:tcW w:w="212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jc w:val="center"/>
              <w:rPr>
                <w:rFonts w:ascii="宋体" w:eastAsia="宋体" w:hAnsi="宋体" w:cs="宋体"/>
                <w:sz w:val="18"/>
                <w:szCs w:val="18"/>
              </w:rPr>
            </w:pPr>
            <w:r w:rsidRPr="001C3110">
              <w:rPr>
                <w:rFonts w:ascii="宋体" w:eastAsia="宋体" w:hAnsi="宋体" w:cs="宋体"/>
                <w:sz w:val="18"/>
                <w:szCs w:val="18"/>
              </w:rPr>
              <w:t>数量</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德力西集团有限公司</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156,087,400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156,087,400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谢慧明</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11,104,200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11,104,200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招商银行股份有限公司－中欧高端装备股票型发起式证券投资基金</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8,500,001</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8,500,001</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胡成中</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6,350,000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6,350,000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中国建设银行股份有限公司－长信国防军工量化灵活配置混合型证券投资基金</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5,786,700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5,786,700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姚国成</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3,218,200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3,218,200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刘丽萍</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3,098,000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3,098,000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中国太平洋人寿保险股份有限公司－万能－个人万能</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2,949,988</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2,949,988</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proofErr w:type="gramStart"/>
            <w:r w:rsidRPr="001C3110">
              <w:rPr>
                <w:rFonts w:ascii="宋体" w:eastAsia="宋体" w:hAnsi="宋体" w:cs="宋体"/>
                <w:sz w:val="18"/>
                <w:szCs w:val="18"/>
              </w:rPr>
              <w:t>车晨</w:t>
            </w:r>
            <w:proofErr w:type="gramEnd"/>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1,871,100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1,871,100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中国太平洋人寿保险股份有限公司－分红-个人分红</w:t>
            </w:r>
          </w:p>
        </w:tc>
        <w:tc>
          <w:tcPr>
            <w:tcW w:w="2566" w:type="dxa"/>
            <w:gridSpan w:val="3"/>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1,611,500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人民币普通股</w:t>
            </w:r>
          </w:p>
        </w:tc>
        <w:tc>
          <w:tcPr>
            <w:tcW w:w="2126" w:type="dxa"/>
            <w:gridSpan w:val="4"/>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jc w:val="right"/>
              <w:rPr>
                <w:rFonts w:ascii="宋体" w:eastAsia="宋体" w:hAnsi="宋体" w:cs="宋体"/>
                <w:sz w:val="18"/>
                <w:szCs w:val="18"/>
              </w:rPr>
            </w:pPr>
            <w:r w:rsidRPr="001C3110">
              <w:rPr>
                <w:rFonts w:ascii="宋体" w:eastAsia="宋体" w:hAnsi="宋体" w:cs="宋体"/>
                <w:sz w:val="18"/>
                <w:szCs w:val="18"/>
              </w:rPr>
              <w:t>1,611,500</w:t>
            </w:r>
          </w:p>
        </w:tc>
      </w:tr>
      <w:tr w:rsidR="000701B7" w:rsidRPr="001C3110" w:rsidTr="001C3110">
        <w:trPr>
          <w:trHeight w:val="240"/>
        </w:trPr>
        <w:tc>
          <w:tcPr>
            <w:tcW w:w="368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上述股东关联关系或一致行动的说明</w:t>
            </w:r>
          </w:p>
        </w:tc>
        <w:tc>
          <w:tcPr>
            <w:tcW w:w="6110" w:type="dxa"/>
            <w:gridSpan w:val="9"/>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上述股东中，胡成中为公司控股股东德力西集团有限公司实际控制人，与德力西集团有限公司</w:t>
            </w:r>
            <w:proofErr w:type="gramStart"/>
            <w:r w:rsidRPr="001C3110">
              <w:rPr>
                <w:rFonts w:ascii="宋体" w:eastAsia="宋体" w:hAnsi="宋体" w:cs="宋体"/>
                <w:sz w:val="18"/>
                <w:szCs w:val="18"/>
              </w:rPr>
              <w:t>为一致</w:t>
            </w:r>
            <w:proofErr w:type="gramEnd"/>
            <w:r w:rsidRPr="001C3110">
              <w:rPr>
                <w:rFonts w:ascii="宋体" w:eastAsia="宋体" w:hAnsi="宋体" w:cs="宋体"/>
                <w:sz w:val="18"/>
                <w:szCs w:val="18"/>
              </w:rPr>
              <w:t>行动人；除此之外，公司未知其他股东之间是否存在关联关系，也未知其他股东是否属于《上市公司收购管理办法》中规定的一致行动人。广东甘化科工股份有限公司回购专用证券账户为公司回购股</w:t>
            </w:r>
            <w:proofErr w:type="gramStart"/>
            <w:r w:rsidRPr="001C3110">
              <w:rPr>
                <w:rFonts w:ascii="宋体" w:eastAsia="宋体" w:hAnsi="宋体" w:cs="宋体"/>
                <w:sz w:val="18"/>
                <w:szCs w:val="18"/>
              </w:rPr>
              <w:t>份设立</w:t>
            </w:r>
            <w:proofErr w:type="gramEnd"/>
            <w:r w:rsidRPr="001C3110">
              <w:rPr>
                <w:rFonts w:ascii="宋体" w:eastAsia="宋体" w:hAnsi="宋体" w:cs="宋体"/>
                <w:sz w:val="18"/>
                <w:szCs w:val="18"/>
              </w:rPr>
              <w:t>的专用证券账户，持有公司股票4,380,000股，在前10名股</w:t>
            </w:r>
            <w:r w:rsidRPr="001C3110">
              <w:rPr>
                <w:rFonts w:ascii="宋体" w:eastAsia="宋体" w:hAnsi="宋体" w:cs="宋体"/>
                <w:sz w:val="18"/>
                <w:szCs w:val="18"/>
              </w:rPr>
              <w:lastRenderedPageBreak/>
              <w:t>东中排名第6，该回购专用证券账户中的股份不享有股东大会表决权、利润分配、公积金转增股本、配股、质押等权利。</w:t>
            </w:r>
          </w:p>
        </w:tc>
      </w:tr>
      <w:tr w:rsidR="000701B7" w:rsidRPr="001C3110" w:rsidTr="007B45C2">
        <w:trPr>
          <w:gridAfter w:val="1"/>
          <w:wAfter w:w="14" w:type="dxa"/>
          <w:trHeight w:val="240"/>
        </w:trPr>
        <w:tc>
          <w:tcPr>
            <w:tcW w:w="368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lastRenderedPageBreak/>
              <w:t>前10名股东参与融资融券业务情况说明（如有）</w:t>
            </w:r>
          </w:p>
        </w:tc>
        <w:tc>
          <w:tcPr>
            <w:tcW w:w="6096" w:type="dxa"/>
            <w:gridSpan w:val="8"/>
            <w:tcBorders>
              <w:top w:val="single" w:sz="2" w:space="0" w:color="auto"/>
              <w:left w:val="single" w:sz="2" w:space="0" w:color="auto"/>
              <w:bottom w:val="single" w:sz="2" w:space="0" w:color="auto"/>
              <w:right w:val="single" w:sz="2" w:space="0" w:color="auto"/>
            </w:tcBorders>
            <w:vAlign w:val="center"/>
          </w:tcPr>
          <w:p w:rsidR="000701B7" w:rsidRPr="001C3110" w:rsidRDefault="00C65637" w:rsidP="001C3110">
            <w:pPr>
              <w:spacing w:line="280" w:lineRule="exact"/>
              <w:rPr>
                <w:rFonts w:ascii="宋体" w:eastAsia="宋体" w:hAnsi="宋体" w:cs="宋体"/>
                <w:sz w:val="18"/>
                <w:szCs w:val="18"/>
              </w:rPr>
            </w:pPr>
            <w:r w:rsidRPr="001C3110">
              <w:rPr>
                <w:rFonts w:ascii="宋体" w:eastAsia="宋体" w:hAnsi="宋体" w:cs="宋体"/>
                <w:sz w:val="18"/>
                <w:szCs w:val="18"/>
              </w:rPr>
              <w:t>前10名公司股东中，德力西集团有限公司通过普通证券账户持有121,087,400 股,通过财通证券股份有限公司客户信用交易担保证券账户持有35,000,000股，实际合计持有156,087,400股；谢慧明通过普通证券账户持有0股，通过西南证券股份有限公司客户信用交易担保证券账户持有11,104,200股，实际合计持有11,104,200股；刘丽</w:t>
            </w:r>
            <w:proofErr w:type="gramStart"/>
            <w:r w:rsidRPr="001C3110">
              <w:rPr>
                <w:rFonts w:ascii="宋体" w:eastAsia="宋体" w:hAnsi="宋体" w:cs="宋体"/>
                <w:sz w:val="18"/>
                <w:szCs w:val="18"/>
              </w:rPr>
              <w:t>萍通过</w:t>
            </w:r>
            <w:proofErr w:type="gramEnd"/>
            <w:r w:rsidRPr="001C3110">
              <w:rPr>
                <w:rFonts w:ascii="宋体" w:eastAsia="宋体" w:hAnsi="宋体" w:cs="宋体"/>
                <w:sz w:val="18"/>
                <w:szCs w:val="18"/>
              </w:rPr>
              <w:t>普通证券账户持有1,998,000股，通过信</w:t>
            </w:r>
            <w:proofErr w:type="gramStart"/>
            <w:r w:rsidRPr="001C3110">
              <w:rPr>
                <w:rFonts w:ascii="宋体" w:eastAsia="宋体" w:hAnsi="宋体" w:cs="宋体"/>
                <w:sz w:val="18"/>
                <w:szCs w:val="18"/>
              </w:rPr>
              <w:t>达证券</w:t>
            </w:r>
            <w:proofErr w:type="gramEnd"/>
            <w:r w:rsidRPr="001C3110">
              <w:rPr>
                <w:rFonts w:ascii="宋体" w:eastAsia="宋体" w:hAnsi="宋体" w:cs="宋体"/>
                <w:sz w:val="18"/>
                <w:szCs w:val="18"/>
              </w:rPr>
              <w:t>股份有限公司客户信用交易担保证券账户持有1,100,000股，实际合计持有3,098,000股。</w:t>
            </w:r>
          </w:p>
        </w:tc>
      </w:tr>
    </w:tbl>
    <w:p w:rsidR="000701B7" w:rsidRDefault="00C65637" w:rsidP="00936C15">
      <w:pPr>
        <w:spacing w:before="100" w:after="100" w:line="28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0701B7" w:rsidRDefault="00C65637" w:rsidP="00936C15">
      <w:pPr>
        <w:spacing w:line="28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rsidP="00936C15">
      <w:pPr>
        <w:spacing w:before="100" w:after="100" w:line="28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0701B7" w:rsidRDefault="00C65637" w:rsidP="00936C15">
      <w:pPr>
        <w:spacing w:line="28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pPr>
        <w:pStyle w:val="2"/>
        <w:spacing w:before="300" w:after="300" w:line="280" w:lineRule="exact"/>
        <w:rPr>
          <w:rFonts w:ascii="宋体" w:eastAsia="宋体" w:hAnsi="宋体" w:cs="宋体"/>
          <w:b/>
          <w:bCs/>
        </w:rPr>
      </w:pPr>
      <w:bookmarkStart w:id="9" w:name="_Toc988895"/>
      <w:r>
        <w:rPr>
          <w:rFonts w:ascii="宋体" w:eastAsia="宋体" w:hAnsi="宋体" w:cs="宋体"/>
          <w:b/>
          <w:bCs/>
        </w:rPr>
        <w:t>（二） 公司优先股股东总数及前10名优先股股东持股情况表</w:t>
      </w:r>
      <w:bookmarkEnd w:id="9"/>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pPr>
        <w:pStyle w:val="headingh1"/>
        <w:spacing w:before="300" w:after="300" w:line="320" w:lineRule="exact"/>
        <w:rPr>
          <w:rFonts w:ascii="宋体" w:eastAsia="宋体" w:hAnsi="宋体" w:cs="宋体"/>
          <w:b/>
          <w:bCs/>
          <w:sz w:val="24"/>
          <w:szCs w:val="24"/>
        </w:rPr>
      </w:pPr>
      <w:bookmarkStart w:id="10" w:name="_Toc988896"/>
      <w:r>
        <w:rPr>
          <w:rFonts w:ascii="宋体" w:eastAsia="宋体" w:hAnsi="宋体" w:cs="宋体"/>
          <w:b/>
          <w:bCs/>
          <w:sz w:val="24"/>
          <w:szCs w:val="24"/>
        </w:rPr>
        <w:t>三、其他重要事项</w:t>
      </w:r>
      <w:bookmarkEnd w:id="10"/>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pPr>
        <w:pStyle w:val="headingh1"/>
        <w:spacing w:before="300" w:after="300" w:line="320" w:lineRule="exact"/>
        <w:rPr>
          <w:rFonts w:ascii="宋体" w:eastAsia="宋体" w:hAnsi="宋体" w:cs="宋体"/>
          <w:b/>
          <w:bCs/>
          <w:sz w:val="24"/>
          <w:szCs w:val="24"/>
        </w:rPr>
      </w:pPr>
      <w:bookmarkStart w:id="11" w:name="_Toc988897"/>
      <w:r>
        <w:rPr>
          <w:rFonts w:ascii="宋体" w:eastAsia="宋体" w:hAnsi="宋体" w:cs="宋体"/>
          <w:b/>
          <w:bCs/>
          <w:sz w:val="24"/>
          <w:szCs w:val="24"/>
        </w:rPr>
        <w:t>四、季度财务报表</w:t>
      </w:r>
      <w:bookmarkEnd w:id="11"/>
    </w:p>
    <w:p w:rsidR="000701B7" w:rsidRDefault="00C65637">
      <w:pPr>
        <w:pStyle w:val="2"/>
        <w:spacing w:before="300" w:after="300" w:line="280" w:lineRule="exact"/>
        <w:rPr>
          <w:rFonts w:ascii="宋体" w:eastAsia="宋体" w:hAnsi="宋体" w:cs="宋体"/>
          <w:b/>
          <w:bCs/>
        </w:rPr>
      </w:pPr>
      <w:bookmarkStart w:id="12" w:name="_Toc988898"/>
      <w:r>
        <w:rPr>
          <w:rFonts w:ascii="宋体" w:eastAsia="宋体" w:hAnsi="宋体" w:cs="宋体"/>
          <w:b/>
          <w:bCs/>
        </w:rPr>
        <w:t>（一） 财务报表</w:t>
      </w:r>
      <w:bookmarkEnd w:id="12"/>
    </w:p>
    <w:p w:rsidR="000701B7" w:rsidRDefault="00C65637">
      <w:pPr>
        <w:pStyle w:val="3"/>
        <w:spacing w:line="280" w:lineRule="exact"/>
        <w:jc w:val="left"/>
        <w:rPr>
          <w:rFonts w:ascii="宋体" w:hAnsi="宋体" w:cs="宋体"/>
          <w:b/>
          <w:bCs/>
        </w:rPr>
      </w:pPr>
      <w:bookmarkStart w:id="13" w:name="_Toc988899"/>
      <w:r>
        <w:rPr>
          <w:rFonts w:ascii="宋体" w:hAnsi="宋体" w:cs="宋体"/>
          <w:b/>
          <w:bCs/>
        </w:rPr>
        <w:t>1、合并资产负债表</w:t>
      </w:r>
      <w:bookmarkEnd w:id="13"/>
    </w:p>
    <w:p w:rsidR="000701B7" w:rsidRDefault="00C65637">
      <w:pPr>
        <w:spacing w:line="240" w:lineRule="exact"/>
        <w:rPr>
          <w:rFonts w:ascii="宋体" w:eastAsia="宋体" w:hAnsi="宋体" w:cs="宋体"/>
          <w:sz w:val="18"/>
          <w:szCs w:val="18"/>
        </w:rPr>
      </w:pPr>
      <w:r>
        <w:rPr>
          <w:rFonts w:ascii="宋体" w:eastAsia="宋体" w:hAnsi="宋体" w:cs="宋体"/>
          <w:sz w:val="18"/>
          <w:szCs w:val="18"/>
        </w:rPr>
        <w:t>编制单位：广东甘化科工股份有限公司</w:t>
      </w:r>
    </w:p>
    <w:p w:rsidR="000701B7" w:rsidRDefault="00C65637">
      <w:pPr>
        <w:spacing w:line="240" w:lineRule="exact"/>
        <w:jc w:val="center"/>
        <w:rPr>
          <w:rFonts w:ascii="宋体" w:eastAsia="宋体" w:hAnsi="宋体" w:cs="宋体"/>
          <w:sz w:val="18"/>
          <w:szCs w:val="18"/>
        </w:rPr>
      </w:pPr>
      <w:r>
        <w:rPr>
          <w:rFonts w:ascii="宋体" w:eastAsia="宋体" w:hAnsi="宋体" w:cs="宋体"/>
          <w:sz w:val="18"/>
          <w:szCs w:val="18"/>
        </w:rPr>
        <w:t>2025年09月30日</w:t>
      </w:r>
    </w:p>
    <w:p w:rsidR="000701B7" w:rsidRDefault="00C65637">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期初余额</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129,150,108.76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131,255,863.36</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120,556,106.57</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212,691,865.42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26,426,940.34</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103,158,129.55</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461,806,272.00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224,622,631.64</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36,920,153.89</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26,322,696.05</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7,415,336.56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3,641,228.77</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lastRenderedPageBreak/>
              <w:t>存货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261,238,923.25</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177,203,161.42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4,677,182.20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6,269,469.94</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10,949,263.22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1,049,783,311.31</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894,522,021.63</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157,211,167.02</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219,987,262.51</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58,611,906.40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25,250,056.20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21,623,145.28</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108,320,955.32</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62,900,699.99</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4,378,073.83</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9,209,122.07</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53,167,796.93</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55,381,253.50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26,219,485.86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12,907,022.39</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745,427,079.39</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462,364,253.52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12,693,415.11</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14,717,691.91</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18,258,643.52</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30,039,235.38</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1,380,276.36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2,077,279.20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1,210,918,855.94</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949,818,872.15</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2,260,702,167.25</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1,844,340,893.78</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58,182,208.49</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10,000,000.00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31,841,074.46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22,530,973.33</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119,068,789.77</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37,261,823.72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25,230,609.58</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3,359,350.06</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8,421,788.94</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29,638,468.50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5,734,841.51</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5,791,248.13</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53,706,039.74</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16,940,485.10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377,815.97</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lastRenderedPageBreak/>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6,310,868.95</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4,529,626.98</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289,480.00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527,122.62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308,785,701.44</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130,579,098.44</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28,639,166.86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57,582,202.32</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58,614,583.71</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130,494,000.00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486,000.00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21,825,866.90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19,720,387.44</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1,635,613.60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3,031,369.99</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240,662,849.68</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81,366,341.14</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549,448,551.12</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211,945,439.58</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436,418,214.00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436,418,214.00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669,604,433.58</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709,479,348.07</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26,698,988.00</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26,618,988.00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30,650,554.97</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30,650,554.97</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8,067,764.28</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6,613,980.47</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92,787,529.06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92,787,529.06</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440,540,802.56</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363,009,461.01</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1,651,370,310.45</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1,612,340,099.58</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59,883,305.68</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20,055,354.62</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1,711,253,616.13</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1,632,395,454.20</w:t>
            </w:r>
          </w:p>
        </w:tc>
      </w:tr>
      <w:tr w:rsidR="000701B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A32BA7" w:rsidP="001C3110">
            <w:pPr>
              <w:spacing w:line="260" w:lineRule="exact"/>
              <w:jc w:val="right"/>
              <w:rPr>
                <w:rFonts w:ascii="宋体" w:eastAsia="宋体" w:hAnsi="宋体" w:cs="宋体"/>
                <w:sz w:val="18"/>
                <w:szCs w:val="18"/>
              </w:rPr>
            </w:pPr>
            <w:r>
              <w:rPr>
                <w:rFonts w:ascii="宋体" w:eastAsia="宋体" w:cs="宋体"/>
                <w:color w:val="000000"/>
                <w:kern w:val="0"/>
                <w:sz w:val="18"/>
                <w:szCs w:val="18"/>
              </w:rPr>
              <w:t xml:space="preserve">       2,260,702,167.25</w:t>
            </w:r>
          </w:p>
        </w:tc>
        <w:tc>
          <w:tcPr>
            <w:tcW w:w="3213"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1,844,340,893.78</w:t>
            </w:r>
          </w:p>
        </w:tc>
      </w:tr>
    </w:tbl>
    <w:p w:rsidR="000701B7" w:rsidRDefault="00C65637" w:rsidP="001C3110">
      <w:pPr>
        <w:spacing w:line="24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1C3110">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1C3110">
        <w:rPr>
          <w:rFonts w:ascii="宋体" w:eastAsia="宋体" w:hAnsi="宋体" w:cs="宋体"/>
          <w:sz w:val="18"/>
          <w:szCs w:val="18"/>
        </w:rPr>
        <w:t xml:space="preserve">       </w:t>
      </w:r>
      <w:r>
        <w:rPr>
          <w:rFonts w:ascii="宋体" w:eastAsia="宋体" w:hAnsi="宋体" w:cs="宋体"/>
          <w:sz w:val="18"/>
          <w:szCs w:val="18"/>
        </w:rPr>
        <w:t xml:space="preserve">  会计机构负责人：</w:t>
      </w:r>
      <w:proofErr w:type="gramStart"/>
      <w:r>
        <w:rPr>
          <w:rFonts w:ascii="宋体" w:eastAsia="宋体" w:hAnsi="宋体" w:cs="宋体"/>
          <w:sz w:val="18"/>
          <w:szCs w:val="18"/>
        </w:rPr>
        <w:t>徐佳君</w:t>
      </w:r>
      <w:proofErr w:type="gramEnd"/>
    </w:p>
    <w:p w:rsidR="000701B7" w:rsidRDefault="00C65637">
      <w:pPr>
        <w:pStyle w:val="3"/>
        <w:spacing w:line="280" w:lineRule="exact"/>
        <w:jc w:val="left"/>
        <w:rPr>
          <w:rFonts w:ascii="宋体" w:hAnsi="宋体" w:cs="宋体"/>
          <w:b/>
          <w:bCs/>
        </w:rPr>
      </w:pPr>
      <w:bookmarkStart w:id="14" w:name="_Toc988900"/>
      <w:r>
        <w:rPr>
          <w:rFonts w:ascii="宋体" w:hAnsi="宋体" w:cs="宋体"/>
          <w:b/>
          <w:bCs/>
        </w:rPr>
        <w:t>2、合并年初到报告</w:t>
      </w:r>
      <w:proofErr w:type="gramStart"/>
      <w:r>
        <w:rPr>
          <w:rFonts w:ascii="宋体" w:hAnsi="宋体" w:cs="宋体"/>
          <w:b/>
          <w:bCs/>
        </w:rPr>
        <w:t>期末利润</w:t>
      </w:r>
      <w:proofErr w:type="gramEnd"/>
      <w:r>
        <w:rPr>
          <w:rFonts w:ascii="宋体" w:hAnsi="宋体" w:cs="宋体"/>
          <w:b/>
          <w:bCs/>
        </w:rPr>
        <w:t>表</w:t>
      </w:r>
      <w:bookmarkEnd w:id="14"/>
    </w:p>
    <w:p w:rsidR="000701B7" w:rsidRDefault="00C65637">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103"/>
        <w:gridCol w:w="2268"/>
        <w:gridCol w:w="2268"/>
      </w:tblGrid>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本期发生额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上期发生额</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一、营业总收入</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361,143,878.08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278,380,642.97</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361,143,878.08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278,380,642.97</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rPr>
                <w:rFonts w:ascii="宋体" w:eastAsia="宋体" w:hAnsi="宋体" w:cs="宋体"/>
                <w:sz w:val="18"/>
                <w:szCs w:val="18"/>
              </w:rPr>
            </w:pPr>
            <w:r>
              <w:rPr>
                <w:rFonts w:ascii="宋体" w:eastAsia="宋体" w:hAnsi="宋体" w:cs="宋体"/>
                <w:sz w:val="18"/>
                <w:szCs w:val="18"/>
              </w:rPr>
              <w:t>二、营业总成本</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321,110,829.89</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262,527,969.16</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196,730,176.16</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126,409,979.09</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lastRenderedPageBreak/>
              <w:t>退保金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2,668,633.70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2,593,458.06</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11,463,384.18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24,518,987.64</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37,620,322.59</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40,346,314.57</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72,212,991.89</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68,900,545.22</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415,321.37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-241,315.42</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3,069,342.17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2,472,857.50</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2,907,048.27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2,429,245.80</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21,435,618.70</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6,259,796.95</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43,338,072.06</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-4,039,473.32</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-9,584,696.69</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-7,914,381.33</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2,365,610.82</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1,068,181.84</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-5,295,583.68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-3,513,424.59</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-27,714,597.77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-431,821.13</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-525,952.01</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三、营业利润（亏损以“－”号填列）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73,636,216.31</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15,195,933.56</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31,230,449.51</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3,694,635.51</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310,266.51</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1,450,765.58</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104,556,399.31</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17,439,803.49</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25,051,174.64</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-299,821.03</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五、净利润（净亏损以“－”号填列）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79,505,224.67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17,739,624.52</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79,505,224.67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17,739,624.52</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77,531,341.55</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20,028,378.09</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1,973,883.12</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-2,288,753.57</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8,131,196.40</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8,131,196.40</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8,131,196.40</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B436D7" w:rsidP="001C3110">
            <w:pPr>
              <w:spacing w:line="260" w:lineRule="exact"/>
              <w:jc w:val="right"/>
              <w:rPr>
                <w:rFonts w:ascii="宋体" w:eastAsia="宋体" w:hAnsi="宋体" w:cs="宋体"/>
                <w:sz w:val="18"/>
                <w:szCs w:val="18"/>
              </w:rPr>
            </w:pPr>
            <w:r>
              <w:rPr>
                <w:rFonts w:ascii="宋体" w:eastAsia="宋体" w:hAnsi="宋体" w:cs="宋体"/>
                <w:sz w:val="18"/>
                <w:szCs w:val="18"/>
              </w:rPr>
              <w:t>8,131,196.40</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lastRenderedPageBreak/>
              <w:t>5.现金流量套期储备</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七、综合收益总额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79,505,224.67</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25,870,820.92</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77,531,341.55</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28,159,574.49</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9E5290" w:rsidP="001C3110">
            <w:pPr>
              <w:spacing w:line="260" w:lineRule="exact"/>
              <w:jc w:val="right"/>
              <w:rPr>
                <w:rFonts w:ascii="宋体" w:eastAsia="宋体" w:hAnsi="宋体" w:cs="宋体"/>
                <w:sz w:val="18"/>
                <w:szCs w:val="18"/>
              </w:rPr>
            </w:pPr>
            <w:r w:rsidRPr="009E5290">
              <w:rPr>
                <w:rFonts w:ascii="宋体" w:eastAsia="宋体" w:hAnsi="宋体" w:cs="宋体"/>
                <w:sz w:val="18"/>
                <w:szCs w:val="18"/>
              </w:rPr>
              <w:t>1,973,883.12</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-2,288,753.57</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八、每股收益：</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0.18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0.05</w:t>
            </w:r>
          </w:p>
        </w:tc>
      </w:tr>
      <w:tr w:rsidR="000701B7" w:rsidTr="001C3110">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0.18</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0.05</w:t>
            </w:r>
          </w:p>
        </w:tc>
      </w:tr>
    </w:tbl>
    <w:p w:rsidR="000701B7" w:rsidRDefault="00C65637" w:rsidP="001C3110">
      <w:pPr>
        <w:spacing w:line="24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1C3110">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1C3110">
        <w:rPr>
          <w:rFonts w:ascii="宋体" w:eastAsia="宋体" w:hAnsi="宋体" w:cs="宋体"/>
          <w:sz w:val="18"/>
          <w:szCs w:val="18"/>
        </w:rPr>
        <w:t xml:space="preserve">          </w:t>
      </w:r>
      <w:r>
        <w:rPr>
          <w:rFonts w:ascii="宋体" w:eastAsia="宋体" w:hAnsi="宋体" w:cs="宋体"/>
          <w:sz w:val="18"/>
          <w:szCs w:val="18"/>
        </w:rPr>
        <w:t xml:space="preserve">  会计机构负责人：</w:t>
      </w:r>
      <w:proofErr w:type="gramStart"/>
      <w:r>
        <w:rPr>
          <w:rFonts w:ascii="宋体" w:eastAsia="宋体" w:hAnsi="宋体" w:cs="宋体"/>
          <w:sz w:val="18"/>
          <w:szCs w:val="18"/>
        </w:rPr>
        <w:t>徐佳君</w:t>
      </w:r>
      <w:proofErr w:type="gramEnd"/>
    </w:p>
    <w:p w:rsidR="000701B7" w:rsidRDefault="00C65637">
      <w:pPr>
        <w:pStyle w:val="3"/>
        <w:spacing w:line="280" w:lineRule="exact"/>
        <w:jc w:val="left"/>
        <w:rPr>
          <w:rFonts w:ascii="宋体" w:hAnsi="宋体" w:cs="宋体"/>
          <w:b/>
          <w:bCs/>
        </w:rPr>
      </w:pPr>
      <w:bookmarkStart w:id="15" w:name="_Toc988901"/>
      <w:r>
        <w:rPr>
          <w:rFonts w:ascii="宋体" w:hAnsi="宋体" w:cs="宋体"/>
          <w:b/>
          <w:bCs/>
        </w:rPr>
        <w:t>3、合并年初到报告期末现金流量表</w:t>
      </w:r>
      <w:bookmarkEnd w:id="15"/>
    </w:p>
    <w:p w:rsidR="000701B7" w:rsidRDefault="00C65637">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49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678"/>
        <w:gridCol w:w="2268"/>
        <w:gridCol w:w="2552"/>
      </w:tblGrid>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本期发生额</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jc w:val="center"/>
              <w:rPr>
                <w:rFonts w:ascii="宋体" w:eastAsia="宋体" w:hAnsi="宋体" w:cs="宋体"/>
                <w:sz w:val="18"/>
                <w:szCs w:val="18"/>
              </w:rPr>
            </w:pPr>
            <w:r>
              <w:rPr>
                <w:rFonts w:ascii="宋体" w:eastAsia="宋体" w:hAnsi="宋体" w:cs="宋体"/>
                <w:sz w:val="18"/>
                <w:szCs w:val="18"/>
              </w:rPr>
              <w:t>上期发生额</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381,941,033.90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238,900,292.93</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533.03</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28,643,900.76</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10,399,749.08</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经营活动现金流入小计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410,584,934.66</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249,300,575.04</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255,858,908.60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147,286,520.12</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Pr="001C3110"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83,193,619.75</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92,388,964.92</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22,285,409.05</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14,908,285.18</w:t>
            </w:r>
          </w:p>
        </w:tc>
      </w:tr>
      <w:tr w:rsidR="00012C1E" w:rsidTr="00FA7A59">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268" w:type="dxa"/>
            <w:tcBorders>
              <w:top w:val="single" w:sz="2" w:space="0" w:color="auto"/>
              <w:left w:val="single" w:sz="2" w:space="0" w:color="auto"/>
              <w:bottom w:val="single" w:sz="2" w:space="0" w:color="auto"/>
              <w:right w:val="single" w:sz="2" w:space="0" w:color="auto"/>
            </w:tcBorders>
          </w:tcPr>
          <w:p w:rsidR="00012C1E" w:rsidRDefault="00012C1E" w:rsidP="00012C1E">
            <w:pPr>
              <w:spacing w:line="260" w:lineRule="exact"/>
              <w:jc w:val="right"/>
              <w:rPr>
                <w:rFonts w:ascii="宋体" w:eastAsia="宋体" w:hAnsi="宋体" w:cs="宋体"/>
                <w:sz w:val="18"/>
                <w:szCs w:val="18"/>
              </w:rPr>
            </w:pPr>
            <w:r w:rsidRPr="00012C1E">
              <w:rPr>
                <w:rFonts w:ascii="宋体" w:eastAsia="宋体" w:hAnsi="宋体" w:cs="宋体"/>
                <w:sz w:val="18"/>
                <w:szCs w:val="18"/>
              </w:rPr>
              <w:t xml:space="preserve"> 37,848,779.78 </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Pr>
                <w:rFonts w:ascii="宋体" w:eastAsia="宋体" w:hAnsi="宋体" w:cs="宋体"/>
                <w:sz w:val="18"/>
                <w:szCs w:val="18"/>
              </w:rPr>
              <w:t>42,631,939.18</w:t>
            </w:r>
          </w:p>
        </w:tc>
      </w:tr>
      <w:tr w:rsidR="00012C1E" w:rsidTr="00FA7A59">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rPr>
                <w:rFonts w:ascii="宋体" w:eastAsia="宋体" w:hAnsi="宋体" w:cs="宋体"/>
                <w:sz w:val="18"/>
                <w:szCs w:val="18"/>
              </w:rPr>
            </w:pPr>
            <w:r>
              <w:rPr>
                <w:rFonts w:ascii="宋体" w:eastAsia="宋体" w:hAnsi="宋体" w:cs="宋体"/>
                <w:sz w:val="18"/>
                <w:szCs w:val="18"/>
              </w:rPr>
              <w:t>经营活动现金流出小计</w:t>
            </w:r>
          </w:p>
        </w:tc>
        <w:tc>
          <w:tcPr>
            <w:tcW w:w="2268" w:type="dxa"/>
            <w:tcBorders>
              <w:top w:val="single" w:sz="2" w:space="0" w:color="auto"/>
              <w:left w:val="single" w:sz="2" w:space="0" w:color="auto"/>
              <w:bottom w:val="single" w:sz="2" w:space="0" w:color="auto"/>
              <w:right w:val="single" w:sz="2" w:space="0" w:color="auto"/>
            </w:tcBorders>
          </w:tcPr>
          <w:p w:rsidR="00012C1E" w:rsidRDefault="00012C1E" w:rsidP="00012C1E">
            <w:pPr>
              <w:spacing w:line="260" w:lineRule="exact"/>
              <w:jc w:val="right"/>
              <w:rPr>
                <w:rFonts w:ascii="宋体" w:eastAsia="宋体" w:hAnsi="宋体" w:cs="宋体"/>
                <w:sz w:val="18"/>
                <w:szCs w:val="18"/>
              </w:rPr>
            </w:pPr>
            <w:r w:rsidRPr="00012C1E">
              <w:rPr>
                <w:rFonts w:ascii="宋体" w:eastAsia="宋体" w:hAnsi="宋体" w:cs="宋体"/>
                <w:sz w:val="18"/>
                <w:szCs w:val="18"/>
              </w:rPr>
              <w:t xml:space="preserve"> 399,186,717.18 </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Pr>
                <w:rFonts w:ascii="宋体" w:eastAsia="宋体" w:hAnsi="宋体" w:cs="宋体"/>
                <w:sz w:val="18"/>
                <w:szCs w:val="18"/>
              </w:rPr>
              <w:t>297,215,709.40</w:t>
            </w:r>
          </w:p>
        </w:tc>
      </w:tr>
      <w:tr w:rsidR="00012C1E" w:rsidTr="00FA7A59">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268" w:type="dxa"/>
            <w:tcBorders>
              <w:top w:val="single" w:sz="2" w:space="0" w:color="auto"/>
              <w:left w:val="single" w:sz="2" w:space="0" w:color="auto"/>
              <w:bottom w:val="single" w:sz="2" w:space="0" w:color="auto"/>
              <w:right w:val="single" w:sz="2" w:space="0" w:color="auto"/>
            </w:tcBorders>
          </w:tcPr>
          <w:p w:rsidR="00012C1E" w:rsidRDefault="00012C1E" w:rsidP="00012C1E">
            <w:pPr>
              <w:spacing w:line="260" w:lineRule="exact"/>
              <w:jc w:val="right"/>
              <w:rPr>
                <w:rFonts w:ascii="宋体" w:eastAsia="宋体" w:hAnsi="宋体" w:cs="宋体"/>
                <w:sz w:val="18"/>
                <w:szCs w:val="18"/>
              </w:rPr>
            </w:pPr>
            <w:r w:rsidRPr="00012C1E">
              <w:rPr>
                <w:rFonts w:ascii="宋体" w:eastAsia="宋体" w:hAnsi="宋体" w:cs="宋体"/>
                <w:sz w:val="18"/>
                <w:szCs w:val="18"/>
              </w:rPr>
              <w:t xml:space="preserve"> 11,398,217.48 </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Pr>
                <w:rFonts w:ascii="宋体" w:eastAsia="宋体" w:hAnsi="宋体" w:cs="宋体"/>
                <w:sz w:val="18"/>
                <w:szCs w:val="18"/>
              </w:rPr>
              <w:t>-47,915,134.36</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936,848,328.61</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941,550,000.00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7,174,970.29</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6,408,504.69</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30,538.60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lastRenderedPageBreak/>
              <w:t>处置子公司及其他营业单位收到的现金净额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893,500.00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1,824,444.32</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投资活动现金流入小计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944,053,837.50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950,716,449.01</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5,095,655.27</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10,559,485.79</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664433" w:rsidP="001C3110">
            <w:pPr>
              <w:spacing w:line="260" w:lineRule="exact"/>
              <w:jc w:val="right"/>
              <w:rPr>
                <w:rFonts w:ascii="宋体" w:eastAsia="宋体" w:hAnsi="宋体" w:cs="宋体"/>
                <w:sz w:val="18"/>
                <w:szCs w:val="18"/>
              </w:rPr>
            </w:pPr>
            <w:r w:rsidRPr="00655228">
              <w:rPr>
                <w:rFonts w:ascii="宋体" w:eastAsia="宋体" w:hAnsi="宋体" w:cs="宋体"/>
                <w:sz w:val="18"/>
                <w:szCs w:val="18"/>
              </w:rPr>
              <w:t>761,037,200.00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950,500,000.00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12C1E"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268"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sidRPr="00012C1E">
              <w:rPr>
                <w:rFonts w:ascii="宋体" w:eastAsia="宋体" w:hAnsi="宋体" w:cs="宋体" w:hint="eastAsia"/>
                <w:sz w:val="18"/>
                <w:szCs w:val="18"/>
              </w:rPr>
              <w:t xml:space="preserve">     213,246,575.16 </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p>
        </w:tc>
      </w:tr>
      <w:tr w:rsidR="00012C1E"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Pr>
                <w:rFonts w:ascii="宋体" w:eastAsia="宋体" w:hAnsi="宋体" w:cs="宋体"/>
                <w:sz w:val="18"/>
                <w:szCs w:val="18"/>
              </w:rPr>
              <w:t>275,167.96</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p>
        </w:tc>
      </w:tr>
      <w:tr w:rsidR="00012C1E" w:rsidTr="00B020C3">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rPr>
                <w:rFonts w:ascii="宋体" w:eastAsia="宋体" w:hAnsi="宋体" w:cs="宋体"/>
                <w:sz w:val="18"/>
                <w:szCs w:val="18"/>
              </w:rPr>
            </w:pPr>
            <w:r>
              <w:rPr>
                <w:rFonts w:ascii="宋体" w:eastAsia="宋体" w:hAnsi="宋体" w:cs="宋体"/>
                <w:sz w:val="18"/>
                <w:szCs w:val="18"/>
              </w:rPr>
              <w:t>投资活动现金流出小计</w:t>
            </w:r>
          </w:p>
        </w:tc>
        <w:tc>
          <w:tcPr>
            <w:tcW w:w="2268" w:type="dxa"/>
            <w:tcBorders>
              <w:top w:val="single" w:sz="2" w:space="0" w:color="auto"/>
              <w:left w:val="single" w:sz="2" w:space="0" w:color="auto"/>
              <w:bottom w:val="single" w:sz="2" w:space="0" w:color="auto"/>
              <w:right w:val="single" w:sz="2" w:space="0" w:color="auto"/>
            </w:tcBorders>
            <w:vAlign w:val="bottom"/>
          </w:tcPr>
          <w:p w:rsidR="00012C1E" w:rsidRPr="00E032A4" w:rsidRDefault="00012C1E" w:rsidP="00012C1E">
            <w:pPr>
              <w:spacing w:line="260" w:lineRule="exact"/>
              <w:jc w:val="right"/>
              <w:rPr>
                <w:rFonts w:ascii="宋体" w:eastAsia="宋体" w:hAnsi="宋体" w:cs="宋体"/>
                <w:sz w:val="18"/>
                <w:szCs w:val="18"/>
              </w:rPr>
            </w:pPr>
            <w:r w:rsidRPr="00012C1E">
              <w:rPr>
                <w:rFonts w:ascii="宋体" w:eastAsia="宋体" w:hAnsi="宋体" w:cs="宋体"/>
                <w:sz w:val="18"/>
                <w:szCs w:val="18"/>
              </w:rPr>
              <w:t xml:space="preserve">  979,654,598.39 </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Pr>
                <w:rFonts w:ascii="宋体" w:eastAsia="宋体" w:hAnsi="宋体" w:cs="宋体"/>
                <w:sz w:val="18"/>
                <w:szCs w:val="18"/>
              </w:rPr>
              <w:t>961,059,485.79</w:t>
            </w:r>
          </w:p>
        </w:tc>
      </w:tr>
      <w:tr w:rsidR="00012C1E" w:rsidTr="00B020C3">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12C1E" w:rsidRDefault="00012C1E" w:rsidP="00012C1E">
            <w:pPr>
              <w:spacing w:line="26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bottom"/>
          </w:tcPr>
          <w:p w:rsidR="00012C1E" w:rsidRPr="00E032A4" w:rsidRDefault="00012C1E" w:rsidP="00012C1E">
            <w:pPr>
              <w:spacing w:line="260" w:lineRule="exact"/>
              <w:jc w:val="right"/>
              <w:rPr>
                <w:rFonts w:ascii="宋体" w:eastAsia="宋体" w:hAnsi="宋体" w:cs="宋体"/>
                <w:sz w:val="18"/>
                <w:szCs w:val="18"/>
              </w:rPr>
            </w:pPr>
            <w:r w:rsidRPr="00012C1E">
              <w:rPr>
                <w:rFonts w:ascii="宋体" w:eastAsia="宋体" w:hAnsi="宋体" w:cs="宋体"/>
                <w:sz w:val="18"/>
                <w:szCs w:val="18"/>
              </w:rPr>
              <w:t xml:space="preserve">  -35,600,760.89 </w:t>
            </w:r>
          </w:p>
        </w:tc>
        <w:tc>
          <w:tcPr>
            <w:tcW w:w="2552" w:type="dxa"/>
            <w:tcBorders>
              <w:top w:val="single" w:sz="2" w:space="0" w:color="auto"/>
              <w:left w:val="single" w:sz="2" w:space="0" w:color="auto"/>
              <w:bottom w:val="single" w:sz="2" w:space="0" w:color="auto"/>
              <w:right w:val="single" w:sz="2" w:space="0" w:color="auto"/>
            </w:tcBorders>
            <w:vAlign w:val="center"/>
          </w:tcPr>
          <w:p w:rsidR="00012C1E" w:rsidRDefault="00012C1E" w:rsidP="00012C1E">
            <w:pPr>
              <w:spacing w:line="260" w:lineRule="exact"/>
              <w:jc w:val="right"/>
              <w:rPr>
                <w:rFonts w:ascii="宋体" w:eastAsia="宋体" w:hAnsi="宋体" w:cs="宋体"/>
                <w:sz w:val="18"/>
                <w:szCs w:val="18"/>
              </w:rPr>
            </w:pPr>
            <w:r>
              <w:rPr>
                <w:rFonts w:ascii="宋体" w:eastAsia="宋体" w:hAnsi="宋体" w:cs="宋体"/>
                <w:sz w:val="18"/>
                <w:szCs w:val="18"/>
              </w:rPr>
              <w:t>-10,343,036.78</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0701B7" w:rsidP="001C3110">
            <w:pPr>
              <w:spacing w:line="260" w:lineRule="exact"/>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100,000.00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49,000,000.00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11,710,000.00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筹资活动现金流入小计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664433" w:rsidP="001C3110">
            <w:pPr>
              <w:spacing w:line="260" w:lineRule="exact"/>
              <w:jc w:val="right"/>
              <w:rPr>
                <w:rFonts w:ascii="宋体" w:eastAsia="宋体" w:hAnsi="宋体" w:cs="宋体"/>
                <w:sz w:val="18"/>
                <w:szCs w:val="18"/>
              </w:rPr>
            </w:pPr>
            <w:r w:rsidRPr="00655228">
              <w:rPr>
                <w:rFonts w:ascii="宋体" w:eastAsia="宋体" w:hAnsi="宋体" w:cs="宋体"/>
                <w:sz w:val="18"/>
                <w:szCs w:val="18"/>
              </w:rPr>
              <w:t>49,000,000.00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11,810,000.00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before="40" w:after="40" w:line="26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27,174,166.66</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253,523.10</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399,615.66</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0701B7" w:rsidP="001C3110">
            <w:pPr>
              <w:spacing w:line="260" w:lineRule="exact"/>
              <w:jc w:val="right"/>
              <w:rPr>
                <w:rFonts w:ascii="宋体" w:eastAsia="宋体" w:hAnsi="宋体" w:cs="宋体"/>
                <w:sz w:val="18"/>
                <w:szCs w:val="18"/>
              </w:rPr>
            </w:pP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5,828,023.96</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12,797,433.34</w:t>
            </w:r>
          </w:p>
        </w:tc>
      </w:tr>
      <w:tr w:rsidR="00664433" w:rsidTr="003252E7">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664433" w:rsidRDefault="00664433" w:rsidP="00664433">
            <w:pPr>
              <w:spacing w:line="260" w:lineRule="exact"/>
              <w:rPr>
                <w:rFonts w:ascii="宋体" w:eastAsia="宋体" w:hAnsi="宋体" w:cs="宋体"/>
                <w:sz w:val="18"/>
                <w:szCs w:val="18"/>
              </w:rPr>
            </w:pPr>
            <w:r>
              <w:rPr>
                <w:rFonts w:ascii="宋体" w:eastAsia="宋体" w:hAnsi="宋体" w:cs="宋体"/>
                <w:sz w:val="18"/>
                <w:szCs w:val="18"/>
              </w:rPr>
              <w:t>筹资活动现金流出小计</w:t>
            </w:r>
          </w:p>
        </w:tc>
        <w:tc>
          <w:tcPr>
            <w:tcW w:w="2268" w:type="dxa"/>
            <w:tcBorders>
              <w:top w:val="single" w:sz="2" w:space="0" w:color="auto"/>
              <w:left w:val="single" w:sz="2" w:space="0" w:color="auto"/>
              <w:bottom w:val="single" w:sz="2" w:space="0" w:color="auto"/>
              <w:right w:val="single" w:sz="2" w:space="0" w:color="auto"/>
            </w:tcBorders>
          </w:tcPr>
          <w:p w:rsidR="00664433" w:rsidRDefault="00664433" w:rsidP="00664433">
            <w:pPr>
              <w:spacing w:line="260" w:lineRule="exact"/>
              <w:jc w:val="right"/>
              <w:rPr>
                <w:rFonts w:ascii="宋体" w:eastAsia="宋体" w:hAnsi="宋体" w:cs="宋体"/>
                <w:sz w:val="18"/>
                <w:szCs w:val="18"/>
              </w:rPr>
            </w:pPr>
            <w:r w:rsidRPr="00664433">
              <w:rPr>
                <w:rFonts w:ascii="宋体" w:eastAsia="宋体" w:hAnsi="宋体" w:cs="宋体"/>
                <w:sz w:val="18"/>
                <w:szCs w:val="18"/>
              </w:rPr>
              <w:t xml:space="preserve"> 33,255,713.72 </w:t>
            </w:r>
          </w:p>
        </w:tc>
        <w:tc>
          <w:tcPr>
            <w:tcW w:w="2552" w:type="dxa"/>
            <w:tcBorders>
              <w:top w:val="single" w:sz="2" w:space="0" w:color="auto"/>
              <w:left w:val="single" w:sz="2" w:space="0" w:color="auto"/>
              <w:bottom w:val="single" w:sz="2" w:space="0" w:color="auto"/>
              <w:right w:val="single" w:sz="2" w:space="0" w:color="auto"/>
            </w:tcBorders>
            <w:vAlign w:val="center"/>
          </w:tcPr>
          <w:p w:rsidR="00664433" w:rsidRDefault="00664433" w:rsidP="00664433">
            <w:pPr>
              <w:spacing w:line="260" w:lineRule="exact"/>
              <w:jc w:val="right"/>
              <w:rPr>
                <w:rFonts w:ascii="宋体" w:eastAsia="宋体" w:hAnsi="宋体" w:cs="宋体"/>
                <w:sz w:val="18"/>
                <w:szCs w:val="18"/>
              </w:rPr>
            </w:pPr>
            <w:r>
              <w:rPr>
                <w:rFonts w:ascii="宋体" w:eastAsia="宋体" w:hAnsi="宋体" w:cs="宋体"/>
                <w:sz w:val="18"/>
                <w:szCs w:val="18"/>
              </w:rPr>
              <w:t>13,197,049.00</w:t>
            </w:r>
          </w:p>
        </w:tc>
      </w:tr>
      <w:tr w:rsidR="00664433" w:rsidTr="003252E7">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664433" w:rsidRDefault="00664433" w:rsidP="00664433">
            <w:pPr>
              <w:spacing w:line="26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268" w:type="dxa"/>
            <w:tcBorders>
              <w:top w:val="single" w:sz="2" w:space="0" w:color="auto"/>
              <w:left w:val="single" w:sz="2" w:space="0" w:color="auto"/>
              <w:bottom w:val="single" w:sz="2" w:space="0" w:color="auto"/>
              <w:right w:val="single" w:sz="2" w:space="0" w:color="auto"/>
            </w:tcBorders>
          </w:tcPr>
          <w:p w:rsidR="00664433" w:rsidRDefault="00664433" w:rsidP="00664433">
            <w:pPr>
              <w:spacing w:line="260" w:lineRule="exact"/>
              <w:jc w:val="right"/>
              <w:rPr>
                <w:rFonts w:ascii="宋体" w:eastAsia="宋体" w:hAnsi="宋体" w:cs="宋体"/>
                <w:sz w:val="18"/>
                <w:szCs w:val="18"/>
              </w:rPr>
            </w:pPr>
            <w:r w:rsidRPr="00664433">
              <w:rPr>
                <w:rFonts w:ascii="宋体" w:eastAsia="宋体" w:hAnsi="宋体" w:cs="宋体"/>
                <w:sz w:val="18"/>
                <w:szCs w:val="18"/>
              </w:rPr>
              <w:t xml:space="preserve"> 15,744,286.28 </w:t>
            </w:r>
          </w:p>
        </w:tc>
        <w:tc>
          <w:tcPr>
            <w:tcW w:w="2552" w:type="dxa"/>
            <w:tcBorders>
              <w:top w:val="single" w:sz="2" w:space="0" w:color="auto"/>
              <w:left w:val="single" w:sz="2" w:space="0" w:color="auto"/>
              <w:bottom w:val="single" w:sz="2" w:space="0" w:color="auto"/>
              <w:right w:val="single" w:sz="2" w:space="0" w:color="auto"/>
            </w:tcBorders>
            <w:vAlign w:val="center"/>
          </w:tcPr>
          <w:p w:rsidR="00664433" w:rsidRDefault="00664433" w:rsidP="00664433">
            <w:pPr>
              <w:spacing w:line="260" w:lineRule="exact"/>
              <w:jc w:val="right"/>
              <w:rPr>
                <w:rFonts w:ascii="宋体" w:eastAsia="宋体" w:hAnsi="宋体" w:cs="宋体"/>
                <w:sz w:val="18"/>
                <w:szCs w:val="18"/>
              </w:rPr>
            </w:pPr>
            <w:r>
              <w:rPr>
                <w:rFonts w:ascii="宋体" w:eastAsia="宋体" w:hAnsi="宋体" w:cs="宋体"/>
                <w:sz w:val="18"/>
                <w:szCs w:val="18"/>
              </w:rPr>
              <w:t>-1,387,049.00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-3,042.31</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-6,044.40</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-8,461,299.44</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-59,651,264.54</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35,411,878.12</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202,930,595.77</w:t>
            </w:r>
          </w:p>
        </w:tc>
      </w:tr>
      <w:tr w:rsidR="000701B7" w:rsidTr="001C3110">
        <w:trPr>
          <w:trHeight w:val="240"/>
        </w:trPr>
        <w:tc>
          <w:tcPr>
            <w:tcW w:w="4678" w:type="dxa"/>
            <w:tcBorders>
              <w:top w:val="single" w:sz="2" w:space="0" w:color="auto"/>
              <w:left w:val="single" w:sz="2" w:space="0" w:color="auto"/>
              <w:bottom w:val="single" w:sz="2" w:space="0" w:color="auto"/>
              <w:right w:val="single" w:sz="2" w:space="0" w:color="auto"/>
            </w:tcBorders>
            <w:shd w:val="clear" w:color="auto" w:fill="D3D3D3"/>
            <w:vAlign w:val="center"/>
          </w:tcPr>
          <w:p w:rsidR="000701B7" w:rsidRDefault="00C65637" w:rsidP="001C3110">
            <w:pPr>
              <w:spacing w:line="26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26,950,578.68</w:t>
            </w:r>
          </w:p>
        </w:tc>
        <w:tc>
          <w:tcPr>
            <w:tcW w:w="2552" w:type="dxa"/>
            <w:tcBorders>
              <w:top w:val="single" w:sz="2" w:space="0" w:color="auto"/>
              <w:left w:val="single" w:sz="2" w:space="0" w:color="auto"/>
              <w:bottom w:val="single" w:sz="2" w:space="0" w:color="auto"/>
              <w:right w:val="single" w:sz="2" w:space="0" w:color="auto"/>
            </w:tcBorders>
            <w:vAlign w:val="center"/>
          </w:tcPr>
          <w:p w:rsidR="000701B7" w:rsidRDefault="00C65637" w:rsidP="001C3110">
            <w:pPr>
              <w:spacing w:line="260" w:lineRule="exact"/>
              <w:jc w:val="right"/>
              <w:rPr>
                <w:rFonts w:ascii="宋体" w:eastAsia="宋体" w:hAnsi="宋体" w:cs="宋体"/>
                <w:sz w:val="18"/>
                <w:szCs w:val="18"/>
              </w:rPr>
            </w:pPr>
            <w:r>
              <w:rPr>
                <w:rFonts w:ascii="宋体" w:eastAsia="宋体" w:hAnsi="宋体" w:cs="宋体"/>
                <w:sz w:val="18"/>
                <w:szCs w:val="18"/>
              </w:rPr>
              <w:t>143,279,331.23</w:t>
            </w:r>
          </w:p>
        </w:tc>
      </w:tr>
    </w:tbl>
    <w:p w:rsidR="000701B7" w:rsidRDefault="00C65637">
      <w:pPr>
        <w:pStyle w:val="2"/>
        <w:spacing w:before="300" w:after="300" w:line="280" w:lineRule="exact"/>
        <w:rPr>
          <w:rFonts w:ascii="宋体" w:eastAsia="宋体" w:hAnsi="宋体" w:cs="宋体"/>
          <w:b/>
          <w:bCs/>
          <w:sz w:val="25"/>
          <w:szCs w:val="25"/>
        </w:rPr>
      </w:pPr>
      <w:bookmarkStart w:id="16" w:name="_Toc988902"/>
      <w:r>
        <w:rPr>
          <w:rFonts w:ascii="宋体" w:eastAsia="宋体" w:hAnsi="宋体" w:cs="宋体"/>
          <w:b/>
          <w:bCs/>
          <w:sz w:val="25"/>
          <w:szCs w:val="25"/>
        </w:rPr>
        <w:t>（二） 2025年起首次执行新会计准则调整首次执行当年年初财务报表相关项目情况</w:t>
      </w:r>
      <w:bookmarkEnd w:id="16"/>
    </w:p>
    <w:p w:rsidR="000701B7" w:rsidRDefault="00C65637">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701B7" w:rsidRDefault="00C65637">
      <w:pPr>
        <w:pStyle w:val="2"/>
        <w:spacing w:before="300" w:after="300" w:line="280" w:lineRule="exact"/>
        <w:rPr>
          <w:rFonts w:ascii="宋体" w:eastAsia="宋体" w:hAnsi="宋体" w:cs="宋体"/>
          <w:b/>
          <w:bCs/>
          <w:sz w:val="25"/>
          <w:szCs w:val="25"/>
        </w:rPr>
      </w:pPr>
      <w:bookmarkStart w:id="17" w:name="_Toc988903"/>
      <w:r>
        <w:rPr>
          <w:rFonts w:ascii="宋体" w:eastAsia="宋体" w:hAnsi="宋体" w:cs="宋体"/>
          <w:b/>
          <w:bCs/>
          <w:sz w:val="25"/>
          <w:szCs w:val="25"/>
        </w:rPr>
        <w:t>（三） 审计报告</w:t>
      </w:r>
      <w:bookmarkEnd w:id="17"/>
    </w:p>
    <w:p w:rsidR="000701B7" w:rsidRDefault="00C65637" w:rsidP="00936C15">
      <w:pPr>
        <w:spacing w:before="40" w:after="40" w:line="280" w:lineRule="exact"/>
        <w:rPr>
          <w:rFonts w:ascii="宋体" w:eastAsia="宋体" w:hAnsi="宋体" w:cs="宋体"/>
          <w:sz w:val="18"/>
          <w:szCs w:val="18"/>
        </w:rPr>
      </w:pPr>
      <w:r>
        <w:rPr>
          <w:rFonts w:ascii="宋体" w:eastAsia="宋体" w:hAnsi="宋体" w:cs="宋体"/>
          <w:sz w:val="18"/>
          <w:szCs w:val="18"/>
        </w:rPr>
        <w:t>第三季度财务会计报告是否经过审计</w:t>
      </w:r>
    </w:p>
    <w:p w:rsidR="000701B7" w:rsidRDefault="00C65637" w:rsidP="00936C15">
      <w:pPr>
        <w:spacing w:before="40" w:after="40" w:line="28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0701B7" w:rsidRDefault="00C65637" w:rsidP="00936C15">
      <w:pPr>
        <w:spacing w:before="40" w:after="40" w:line="280" w:lineRule="exact"/>
        <w:rPr>
          <w:rFonts w:ascii="宋体" w:eastAsia="宋体" w:hAnsi="宋体" w:cs="宋体"/>
          <w:sz w:val="18"/>
          <w:szCs w:val="18"/>
        </w:rPr>
      </w:pPr>
      <w:r>
        <w:rPr>
          <w:rFonts w:ascii="宋体" w:eastAsia="宋体" w:hAnsi="宋体" w:cs="宋体"/>
          <w:sz w:val="18"/>
          <w:szCs w:val="18"/>
        </w:rPr>
        <w:t>公司第三季度财务会计报告未经审计。</w:t>
      </w:r>
    </w:p>
    <w:p w:rsidR="001C3110" w:rsidRDefault="001C3110">
      <w:pPr>
        <w:spacing w:before="40" w:after="40" w:line="240" w:lineRule="exact"/>
        <w:jc w:val="right"/>
        <w:rPr>
          <w:rFonts w:ascii="宋体" w:eastAsia="宋体" w:hAnsi="宋体" w:cs="宋体"/>
          <w:sz w:val="18"/>
          <w:szCs w:val="18"/>
        </w:rPr>
      </w:pPr>
    </w:p>
    <w:p w:rsidR="001D06E9" w:rsidRDefault="001D06E9" w:rsidP="001D06E9">
      <w:pPr>
        <w:autoSpaceDE w:val="0"/>
        <w:autoSpaceDN w:val="0"/>
        <w:adjustRightInd w:val="0"/>
        <w:ind w:firstLineChars="700" w:firstLine="1687"/>
        <w:rPr>
          <w:rFonts w:ascii="宋体" w:eastAsia="宋体" w:hAnsi="宋体" w:cs="宋体"/>
          <w:b/>
          <w:kern w:val="0"/>
          <w:sz w:val="24"/>
          <w:szCs w:val="24"/>
          <w:lang w:val="zh-CN"/>
        </w:rPr>
      </w:pPr>
    </w:p>
    <w:p w:rsidR="001D06E9" w:rsidRPr="00EC4BA6" w:rsidRDefault="00BD5381" w:rsidP="001D06E9">
      <w:pPr>
        <w:autoSpaceDE w:val="0"/>
        <w:autoSpaceDN w:val="0"/>
        <w:adjustRightInd w:val="0"/>
        <w:ind w:firstLineChars="700" w:firstLine="1687"/>
        <w:rPr>
          <w:rFonts w:ascii="仿宋" w:eastAsia="仿宋" w:hAnsi="仿宋"/>
          <w:kern w:val="0"/>
          <w:sz w:val="28"/>
          <w:szCs w:val="28"/>
        </w:rPr>
      </w:pPr>
      <w:r>
        <w:rPr>
          <w:rFonts w:ascii="宋体" w:eastAsia="宋体" w:hAnsi="宋体" w:cs="宋体" w:hint="eastAsia"/>
          <w:b/>
          <w:kern w:val="0"/>
          <w:sz w:val="24"/>
          <w:szCs w:val="24"/>
          <w:lang w:val="zh-CN"/>
        </w:rPr>
        <w:t xml:space="preserve"> </w:t>
      </w:r>
    </w:p>
    <w:p w:rsidR="001D06E9" w:rsidRPr="001D06E9" w:rsidRDefault="001D06E9">
      <w:pPr>
        <w:spacing w:before="40" w:after="40" w:line="240" w:lineRule="exact"/>
        <w:jc w:val="right"/>
        <w:rPr>
          <w:rFonts w:ascii="宋体" w:eastAsia="宋体" w:hAnsi="宋体" w:cs="宋体"/>
          <w:sz w:val="18"/>
          <w:szCs w:val="18"/>
        </w:rPr>
      </w:pPr>
    </w:p>
    <w:p w:rsidR="001C3110" w:rsidRDefault="001C3110">
      <w:pPr>
        <w:spacing w:before="40" w:after="40" w:line="240" w:lineRule="exact"/>
        <w:jc w:val="right"/>
        <w:rPr>
          <w:rFonts w:ascii="宋体" w:eastAsia="宋体" w:hAnsi="宋体" w:cs="宋体"/>
          <w:sz w:val="18"/>
          <w:szCs w:val="18"/>
        </w:rPr>
      </w:pPr>
    </w:p>
    <w:p w:rsidR="001C3110" w:rsidRDefault="001C3110">
      <w:pPr>
        <w:spacing w:before="40" w:after="40" w:line="240" w:lineRule="exact"/>
        <w:jc w:val="right"/>
        <w:rPr>
          <w:rFonts w:ascii="宋体" w:eastAsia="宋体" w:hAnsi="宋体" w:cs="宋体"/>
          <w:sz w:val="18"/>
          <w:szCs w:val="18"/>
        </w:rPr>
      </w:pPr>
    </w:p>
    <w:p w:rsidR="001C3110" w:rsidRDefault="001C3110">
      <w:pPr>
        <w:spacing w:before="40" w:after="40" w:line="240" w:lineRule="exact"/>
        <w:jc w:val="right"/>
        <w:rPr>
          <w:rFonts w:ascii="宋体" w:eastAsia="宋体" w:hAnsi="宋体" w:cs="宋体"/>
          <w:sz w:val="18"/>
          <w:szCs w:val="18"/>
        </w:rPr>
      </w:pPr>
    </w:p>
    <w:p w:rsidR="000701B7" w:rsidRDefault="00C65637">
      <w:pPr>
        <w:spacing w:before="40" w:after="40" w:line="240" w:lineRule="exact"/>
        <w:jc w:val="right"/>
        <w:rPr>
          <w:rFonts w:ascii="宋体" w:eastAsia="宋体" w:hAnsi="宋体" w:cs="宋体"/>
          <w:sz w:val="18"/>
          <w:szCs w:val="18"/>
        </w:rPr>
      </w:pPr>
      <w:r>
        <w:rPr>
          <w:rFonts w:ascii="宋体" w:eastAsia="宋体" w:hAnsi="宋体" w:cs="宋体"/>
          <w:sz w:val="18"/>
          <w:szCs w:val="18"/>
        </w:rPr>
        <w:t>广东甘化科工股份有限公司董事会</w:t>
      </w:r>
    </w:p>
    <w:p w:rsidR="001C3110" w:rsidRDefault="001C3110" w:rsidP="001C3110">
      <w:pPr>
        <w:spacing w:line="300" w:lineRule="exact"/>
        <w:ind w:right="360"/>
        <w:jc w:val="center"/>
        <w:rPr>
          <w:rFonts w:ascii="宋体" w:eastAsia="宋体" w:hAnsi="宋体" w:cs="宋体"/>
          <w:sz w:val="18"/>
          <w:szCs w:val="18"/>
        </w:rPr>
      </w:pPr>
      <w:r>
        <w:rPr>
          <w:rFonts w:ascii="宋体" w:eastAsia="宋体" w:hAnsi="宋体" w:cs="宋体"/>
          <w:sz w:val="18"/>
          <w:szCs w:val="18"/>
        </w:rPr>
        <w:t xml:space="preserve">                                                                               </w:t>
      </w:r>
      <w:r>
        <w:rPr>
          <w:rFonts w:ascii="宋体" w:eastAsia="宋体" w:hAnsi="宋体" w:cs="宋体" w:hint="eastAsia"/>
          <w:sz w:val="18"/>
          <w:szCs w:val="18"/>
        </w:rPr>
        <w:t>2025年</w:t>
      </w:r>
      <w:r w:rsidR="00997EF1">
        <w:rPr>
          <w:rFonts w:ascii="宋体" w:eastAsia="宋体" w:hAnsi="宋体" w:cs="宋体"/>
          <w:sz w:val="18"/>
          <w:szCs w:val="18"/>
        </w:rPr>
        <w:t>10</w:t>
      </w:r>
      <w:r>
        <w:rPr>
          <w:rFonts w:ascii="宋体" w:eastAsia="宋体" w:hAnsi="宋体" w:cs="宋体" w:hint="eastAsia"/>
          <w:sz w:val="18"/>
          <w:szCs w:val="18"/>
        </w:rPr>
        <w:t>月</w:t>
      </w:r>
      <w:r w:rsidR="00997EF1">
        <w:rPr>
          <w:rFonts w:ascii="宋体" w:eastAsia="宋体" w:hAnsi="宋体" w:cs="宋体"/>
          <w:sz w:val="18"/>
          <w:szCs w:val="18"/>
        </w:rPr>
        <w:t>25</w:t>
      </w:r>
      <w:r>
        <w:rPr>
          <w:rFonts w:ascii="宋体" w:eastAsia="宋体" w:hAnsi="宋体" w:cs="宋体" w:hint="eastAsia"/>
          <w:sz w:val="18"/>
          <w:szCs w:val="18"/>
        </w:rPr>
        <w:t>日</w:t>
      </w:r>
    </w:p>
    <w:p w:rsidR="000701B7" w:rsidRDefault="000701B7">
      <w:pPr>
        <w:spacing w:line="240" w:lineRule="exact"/>
        <w:jc w:val="right"/>
        <w:rPr>
          <w:rFonts w:ascii="宋体" w:eastAsia="宋体" w:hAnsi="宋体" w:cs="宋体"/>
          <w:sz w:val="18"/>
          <w:szCs w:val="18"/>
        </w:rPr>
      </w:pPr>
    </w:p>
    <w:sectPr w:rsidR="000701B7">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ED" w:rsidRDefault="008E25ED">
      <w:r>
        <w:separator/>
      </w:r>
    </w:p>
  </w:endnote>
  <w:endnote w:type="continuationSeparator" w:id="0">
    <w:p w:rsidR="008E25ED" w:rsidRDefault="008E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751428"/>
      <w:docPartObj>
        <w:docPartGallery w:val="Page Numbers (Bottom of Page)"/>
        <w:docPartUnique/>
      </w:docPartObj>
    </w:sdtPr>
    <w:sdtEndPr/>
    <w:sdtContent>
      <w:p w:rsidR="00614CA0" w:rsidRDefault="00614CA0">
        <w:pPr>
          <w:pStyle w:val="a6"/>
          <w:jc w:val="center"/>
        </w:pPr>
        <w:r>
          <w:fldChar w:fldCharType="begin"/>
        </w:r>
        <w:r>
          <w:instrText>PAGE   \* MERGEFORMAT</w:instrText>
        </w:r>
        <w:r>
          <w:fldChar w:fldCharType="separate"/>
        </w:r>
        <w:r w:rsidR="000B61F6" w:rsidRPr="000B61F6">
          <w:rPr>
            <w:noProof/>
            <w:lang w:val="zh-CN"/>
          </w:rPr>
          <w:t>11</w:t>
        </w:r>
        <w:r>
          <w:fldChar w:fldCharType="end"/>
        </w:r>
      </w:p>
    </w:sdtContent>
  </w:sdt>
  <w:p w:rsidR="00C65637" w:rsidRDefault="00C65637">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ED" w:rsidRDefault="008E25ED">
      <w:r>
        <w:separator/>
      </w:r>
    </w:p>
  </w:footnote>
  <w:footnote w:type="continuationSeparator" w:id="0">
    <w:p w:rsidR="008E25ED" w:rsidRDefault="008E25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37" w:rsidRDefault="00C65637">
    <w:pPr>
      <w:pStyle w:val="Header1"/>
      <w:pBdr>
        <w:bottom w:val="single" w:sz="6" w:space="1" w:color="auto"/>
      </w:pBdr>
    </w:pPr>
    <w:r>
      <w:t>广东甘化科工股份有限公司2025年第三季度报告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B7"/>
    <w:rsid w:val="00012C1E"/>
    <w:rsid w:val="000701B7"/>
    <w:rsid w:val="00071945"/>
    <w:rsid w:val="00073363"/>
    <w:rsid w:val="00087306"/>
    <w:rsid w:val="000B61F6"/>
    <w:rsid w:val="000D1B04"/>
    <w:rsid w:val="001A7FF1"/>
    <w:rsid w:val="001C3110"/>
    <w:rsid w:val="001D06E9"/>
    <w:rsid w:val="00202C0F"/>
    <w:rsid w:val="002418D6"/>
    <w:rsid w:val="002A52C3"/>
    <w:rsid w:val="002E078F"/>
    <w:rsid w:val="002F6834"/>
    <w:rsid w:val="003A7D46"/>
    <w:rsid w:val="003F1DDB"/>
    <w:rsid w:val="00411586"/>
    <w:rsid w:val="004B3732"/>
    <w:rsid w:val="004C3478"/>
    <w:rsid w:val="00583094"/>
    <w:rsid w:val="005A2206"/>
    <w:rsid w:val="005C5691"/>
    <w:rsid w:val="00614CA0"/>
    <w:rsid w:val="00627F35"/>
    <w:rsid w:val="00661875"/>
    <w:rsid w:val="00664433"/>
    <w:rsid w:val="00695513"/>
    <w:rsid w:val="007B45C2"/>
    <w:rsid w:val="0087440F"/>
    <w:rsid w:val="00897B18"/>
    <w:rsid w:val="008E25ED"/>
    <w:rsid w:val="00904BFF"/>
    <w:rsid w:val="00936C15"/>
    <w:rsid w:val="009618DC"/>
    <w:rsid w:val="00970B86"/>
    <w:rsid w:val="00997EF1"/>
    <w:rsid w:val="009E5290"/>
    <w:rsid w:val="00A32BA7"/>
    <w:rsid w:val="00A35D11"/>
    <w:rsid w:val="00A45740"/>
    <w:rsid w:val="00AA204C"/>
    <w:rsid w:val="00B436D7"/>
    <w:rsid w:val="00BD5381"/>
    <w:rsid w:val="00C52FCB"/>
    <w:rsid w:val="00C65637"/>
    <w:rsid w:val="00CA7801"/>
    <w:rsid w:val="00CB74CC"/>
    <w:rsid w:val="00CD4BBB"/>
    <w:rsid w:val="00D26F55"/>
    <w:rsid w:val="00D3152A"/>
    <w:rsid w:val="00D5215B"/>
    <w:rsid w:val="00D53523"/>
    <w:rsid w:val="00D95B3A"/>
    <w:rsid w:val="00DB4A13"/>
    <w:rsid w:val="00EB426B"/>
    <w:rsid w:val="00F71954"/>
    <w:rsid w:val="00FE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0B4A6"/>
  <w15:docId w15:val="{1C7E0388-48DE-4A82-85B4-95C037A6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614CA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14CA0"/>
    <w:rPr>
      <w:sz w:val="18"/>
      <w:szCs w:val="18"/>
    </w:rPr>
  </w:style>
  <w:style w:type="paragraph" w:styleId="a6">
    <w:name w:val="footer"/>
    <w:basedOn w:val="a"/>
    <w:link w:val="a7"/>
    <w:uiPriority w:val="99"/>
    <w:unhideWhenUsed/>
    <w:rsid w:val="00614CA0"/>
    <w:pPr>
      <w:tabs>
        <w:tab w:val="center" w:pos="4153"/>
        <w:tab w:val="right" w:pos="8306"/>
      </w:tabs>
      <w:snapToGrid w:val="0"/>
    </w:pPr>
    <w:rPr>
      <w:sz w:val="18"/>
      <w:szCs w:val="18"/>
    </w:rPr>
  </w:style>
  <w:style w:type="character" w:customStyle="1" w:styleId="a7">
    <w:name w:val="页脚 字符"/>
    <w:basedOn w:val="a0"/>
    <w:link w:val="a6"/>
    <w:uiPriority w:val="99"/>
    <w:rsid w:val="00614CA0"/>
    <w:rPr>
      <w:sz w:val="18"/>
      <w:szCs w:val="18"/>
    </w:rPr>
  </w:style>
  <w:style w:type="paragraph" w:styleId="a8">
    <w:name w:val="Balloon Text"/>
    <w:basedOn w:val="a"/>
    <w:link w:val="a9"/>
    <w:uiPriority w:val="99"/>
    <w:semiHidden/>
    <w:unhideWhenUsed/>
    <w:rsid w:val="002F6834"/>
    <w:rPr>
      <w:sz w:val="18"/>
      <w:szCs w:val="18"/>
    </w:rPr>
  </w:style>
  <w:style w:type="character" w:customStyle="1" w:styleId="a9">
    <w:name w:val="批注框文本 字符"/>
    <w:basedOn w:val="a0"/>
    <w:link w:val="a8"/>
    <w:uiPriority w:val="99"/>
    <w:semiHidden/>
    <w:rsid w:val="002F68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20585">
      <w:bodyDiv w:val="1"/>
      <w:marLeft w:val="0"/>
      <w:marRight w:val="0"/>
      <w:marTop w:val="0"/>
      <w:marBottom w:val="0"/>
      <w:divBdr>
        <w:top w:val="none" w:sz="0" w:space="0" w:color="auto"/>
        <w:left w:val="none" w:sz="0" w:space="0" w:color="auto"/>
        <w:bottom w:val="none" w:sz="0" w:space="0" w:color="auto"/>
        <w:right w:val="none" w:sz="0" w:space="0" w:color="auto"/>
      </w:divBdr>
    </w:div>
    <w:div w:id="151272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2025-10-21T09:26:00Z</dcterms:created>
  <dcterms:modified xsi:type="dcterms:W3CDTF">2025-10-24T03:37:00Z</dcterms:modified>
</cp:coreProperties>
</file>